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83"/>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5172"/>
        <w:gridCol w:w="1242"/>
        <w:gridCol w:w="2976"/>
      </w:tblGrid>
      <w:tr w:rsidR="00DF2354" w:rsidRPr="001B219A" w:rsidTr="00DF2354">
        <w:trPr>
          <w:trHeight w:val="428"/>
        </w:trPr>
        <w:tc>
          <w:tcPr>
            <w:tcW w:w="1428" w:type="dxa"/>
            <w:vMerge w:val="restart"/>
            <w:shd w:val="clear" w:color="auto" w:fill="auto"/>
          </w:tcPr>
          <w:p w:rsidR="00CD2839" w:rsidRPr="001B219A" w:rsidRDefault="00CD2839" w:rsidP="00DF2354">
            <w:pPr>
              <w:rPr>
                <w:rFonts w:asciiTheme="minorHAnsi" w:eastAsia="Calibri" w:hAnsiTheme="minorHAnsi" w:cstheme="minorHAnsi"/>
                <w:sz w:val="28"/>
                <w:szCs w:val="28"/>
              </w:rPr>
            </w:pPr>
            <w:r w:rsidRPr="001B219A">
              <w:rPr>
                <w:rFonts w:asciiTheme="minorHAnsi" w:eastAsia="Calibri" w:hAnsiTheme="minorHAnsi" w:cstheme="minorHAnsi"/>
                <w:sz w:val="28"/>
                <w:szCs w:val="28"/>
              </w:rPr>
              <w:t>Who:</w:t>
            </w:r>
          </w:p>
          <w:p w:rsidR="00CD2839" w:rsidRPr="001B219A" w:rsidRDefault="00CD2839" w:rsidP="00DF2354">
            <w:pPr>
              <w:rPr>
                <w:rFonts w:asciiTheme="minorHAnsi" w:eastAsia="Calibri" w:hAnsiTheme="minorHAnsi" w:cstheme="minorHAnsi"/>
                <w:sz w:val="24"/>
                <w:szCs w:val="24"/>
              </w:rPr>
            </w:pPr>
            <w:r w:rsidRPr="001B219A">
              <w:rPr>
                <w:rFonts w:asciiTheme="minorHAnsi" w:eastAsia="Calibri" w:hAnsiTheme="minorHAnsi" w:cstheme="minorHAnsi"/>
                <w:sz w:val="24"/>
                <w:szCs w:val="24"/>
              </w:rPr>
              <w:t>Contract Owners</w:t>
            </w:r>
          </w:p>
        </w:tc>
        <w:tc>
          <w:tcPr>
            <w:tcW w:w="5172" w:type="dxa"/>
            <w:vMerge w:val="restart"/>
            <w:shd w:val="clear" w:color="auto" w:fill="auto"/>
          </w:tcPr>
          <w:p w:rsidR="00CD2839" w:rsidRPr="001B219A" w:rsidRDefault="00CD2839" w:rsidP="00DF2354">
            <w:pPr>
              <w:rPr>
                <w:rFonts w:asciiTheme="minorHAnsi" w:eastAsia="Calibri" w:hAnsiTheme="minorHAnsi" w:cstheme="minorHAnsi"/>
                <w:sz w:val="24"/>
                <w:szCs w:val="24"/>
              </w:rPr>
            </w:pPr>
            <w:r w:rsidRPr="001B219A">
              <w:rPr>
                <w:rFonts w:asciiTheme="minorHAnsi" w:eastAsia="Calibri" w:hAnsiTheme="minorHAnsi" w:cstheme="minorHAnsi"/>
                <w:sz w:val="28"/>
                <w:szCs w:val="28"/>
              </w:rPr>
              <w:t>Owner</w:t>
            </w:r>
            <w:r w:rsidRPr="001B219A">
              <w:rPr>
                <w:rFonts w:asciiTheme="minorHAnsi" w:eastAsia="Calibri" w:hAnsiTheme="minorHAnsi" w:cstheme="minorHAnsi"/>
                <w:sz w:val="24"/>
                <w:szCs w:val="24"/>
              </w:rPr>
              <w:t xml:space="preserve">: </w:t>
            </w:r>
            <w:r w:rsidR="00556BC1" w:rsidRPr="001B219A">
              <w:rPr>
                <w:rFonts w:asciiTheme="minorHAnsi" w:eastAsia="Calibri" w:hAnsiTheme="minorHAnsi" w:cstheme="minorHAnsi"/>
                <w:sz w:val="24"/>
                <w:szCs w:val="24"/>
              </w:rPr>
              <w:t>Eric Peterson</w:t>
            </w:r>
          </w:p>
          <w:p w:rsidR="00DF2354" w:rsidRPr="001B219A" w:rsidRDefault="00DF2354" w:rsidP="00DF2354">
            <w:pPr>
              <w:rPr>
                <w:rFonts w:asciiTheme="minorHAnsi" w:eastAsia="Calibri" w:hAnsiTheme="minorHAnsi" w:cstheme="minorHAnsi"/>
                <w:szCs w:val="24"/>
              </w:rPr>
            </w:pPr>
          </w:p>
          <w:p w:rsidR="00CD2839" w:rsidRPr="001B219A" w:rsidRDefault="0087021A" w:rsidP="007231EE">
            <w:pPr>
              <w:rPr>
                <w:rFonts w:asciiTheme="minorHAnsi" w:eastAsia="Calibri" w:hAnsiTheme="minorHAnsi" w:cstheme="minorHAnsi"/>
                <w:sz w:val="24"/>
                <w:szCs w:val="24"/>
              </w:rPr>
            </w:pPr>
            <w:r w:rsidRPr="001B219A">
              <w:rPr>
                <w:rFonts w:asciiTheme="minorHAnsi" w:eastAsia="Calibri" w:hAnsiTheme="minorHAnsi" w:cstheme="minorHAnsi"/>
                <w:sz w:val="24"/>
                <w:szCs w:val="24"/>
              </w:rPr>
              <w:t xml:space="preserve">Number: </w:t>
            </w:r>
            <w:r w:rsidR="00556BC1" w:rsidRPr="001B219A">
              <w:rPr>
                <w:rFonts w:asciiTheme="minorHAnsi" w:eastAsia="Calibri" w:hAnsiTheme="minorHAnsi" w:cstheme="minorHAnsi"/>
                <w:color w:val="FF0000"/>
                <w:sz w:val="24"/>
                <w:szCs w:val="24"/>
              </w:rPr>
              <w:t>SW XXXX</w:t>
            </w:r>
          </w:p>
        </w:tc>
        <w:tc>
          <w:tcPr>
            <w:tcW w:w="1242" w:type="dxa"/>
            <w:shd w:val="clear" w:color="auto" w:fill="auto"/>
          </w:tcPr>
          <w:p w:rsidR="00CD2839" w:rsidRPr="001B219A" w:rsidRDefault="00CD2839" w:rsidP="00DF2354">
            <w:pPr>
              <w:jc w:val="right"/>
              <w:rPr>
                <w:rFonts w:asciiTheme="minorHAnsi" w:eastAsia="Calibri" w:hAnsiTheme="minorHAnsi" w:cstheme="minorHAnsi"/>
                <w:sz w:val="28"/>
                <w:szCs w:val="28"/>
              </w:rPr>
            </w:pPr>
            <w:r w:rsidRPr="001B219A">
              <w:rPr>
                <w:rFonts w:asciiTheme="minorHAnsi" w:eastAsia="Calibri" w:hAnsiTheme="minorHAnsi" w:cstheme="minorHAnsi"/>
                <w:sz w:val="28"/>
                <w:szCs w:val="28"/>
              </w:rPr>
              <w:t>Date:</w:t>
            </w:r>
          </w:p>
        </w:tc>
        <w:tc>
          <w:tcPr>
            <w:tcW w:w="2976" w:type="dxa"/>
            <w:shd w:val="clear" w:color="auto" w:fill="auto"/>
          </w:tcPr>
          <w:p w:rsidR="00CD2839" w:rsidRPr="001B219A" w:rsidRDefault="00CD2839" w:rsidP="00F372D8">
            <w:pPr>
              <w:rPr>
                <w:rFonts w:asciiTheme="minorHAnsi" w:eastAsia="Calibri" w:hAnsiTheme="minorHAnsi" w:cstheme="minorHAnsi"/>
                <w:sz w:val="24"/>
                <w:szCs w:val="24"/>
              </w:rPr>
            </w:pPr>
            <w:r w:rsidRPr="001B219A">
              <w:rPr>
                <w:rFonts w:asciiTheme="minorHAnsi" w:eastAsia="Calibri" w:hAnsiTheme="minorHAnsi" w:cstheme="minorHAnsi"/>
                <w:sz w:val="24"/>
                <w:szCs w:val="24"/>
              </w:rPr>
              <w:t>0</w:t>
            </w:r>
            <w:r w:rsidR="00556BC1" w:rsidRPr="001B219A">
              <w:rPr>
                <w:rFonts w:asciiTheme="minorHAnsi" w:eastAsia="Calibri" w:hAnsiTheme="minorHAnsi" w:cstheme="minorHAnsi"/>
                <w:sz w:val="24"/>
                <w:szCs w:val="24"/>
              </w:rPr>
              <w:t>7</w:t>
            </w:r>
            <w:r w:rsidRPr="001B219A">
              <w:rPr>
                <w:rFonts w:asciiTheme="minorHAnsi" w:eastAsia="Calibri" w:hAnsiTheme="minorHAnsi" w:cstheme="minorHAnsi"/>
                <w:sz w:val="24"/>
                <w:szCs w:val="24"/>
              </w:rPr>
              <w:t>/</w:t>
            </w:r>
            <w:r w:rsidR="00556BC1" w:rsidRPr="001B219A">
              <w:rPr>
                <w:rFonts w:asciiTheme="minorHAnsi" w:eastAsia="Calibri" w:hAnsiTheme="minorHAnsi" w:cstheme="minorHAnsi"/>
                <w:sz w:val="24"/>
                <w:szCs w:val="24"/>
              </w:rPr>
              <w:t>17</w:t>
            </w:r>
            <w:r w:rsidRPr="001B219A">
              <w:rPr>
                <w:rFonts w:asciiTheme="minorHAnsi" w:eastAsia="Calibri" w:hAnsiTheme="minorHAnsi" w:cstheme="minorHAnsi"/>
                <w:sz w:val="24"/>
                <w:szCs w:val="24"/>
              </w:rPr>
              <w:t>/2017</w:t>
            </w:r>
          </w:p>
        </w:tc>
      </w:tr>
      <w:tr w:rsidR="00DF2354" w:rsidRPr="001B219A" w:rsidTr="00DF2354">
        <w:trPr>
          <w:trHeight w:val="432"/>
        </w:trPr>
        <w:tc>
          <w:tcPr>
            <w:tcW w:w="1428" w:type="dxa"/>
            <w:vMerge/>
            <w:shd w:val="clear" w:color="auto" w:fill="auto"/>
          </w:tcPr>
          <w:p w:rsidR="00CD2839" w:rsidRPr="001B219A" w:rsidRDefault="00CD2839" w:rsidP="00DF2354">
            <w:pPr>
              <w:rPr>
                <w:rFonts w:asciiTheme="minorHAnsi" w:eastAsia="Calibri" w:hAnsiTheme="minorHAnsi" w:cstheme="minorHAnsi"/>
                <w:sz w:val="28"/>
                <w:szCs w:val="28"/>
              </w:rPr>
            </w:pPr>
          </w:p>
        </w:tc>
        <w:tc>
          <w:tcPr>
            <w:tcW w:w="5172" w:type="dxa"/>
            <w:vMerge/>
            <w:shd w:val="clear" w:color="auto" w:fill="auto"/>
          </w:tcPr>
          <w:p w:rsidR="00CD2839" w:rsidRPr="001B219A" w:rsidRDefault="00CD2839" w:rsidP="00DF2354">
            <w:pPr>
              <w:rPr>
                <w:rFonts w:asciiTheme="minorHAnsi" w:eastAsia="Calibri" w:hAnsiTheme="minorHAnsi" w:cstheme="minorHAnsi"/>
                <w:sz w:val="28"/>
                <w:szCs w:val="28"/>
              </w:rPr>
            </w:pPr>
          </w:p>
        </w:tc>
        <w:tc>
          <w:tcPr>
            <w:tcW w:w="1242" w:type="dxa"/>
            <w:shd w:val="clear" w:color="auto" w:fill="auto"/>
          </w:tcPr>
          <w:p w:rsidR="00CD2839" w:rsidRPr="001B219A" w:rsidRDefault="00CD2839" w:rsidP="00DF2354">
            <w:pPr>
              <w:jc w:val="right"/>
              <w:rPr>
                <w:rFonts w:asciiTheme="minorHAnsi" w:eastAsia="Calibri" w:hAnsiTheme="minorHAnsi" w:cstheme="minorHAnsi"/>
                <w:sz w:val="28"/>
                <w:szCs w:val="28"/>
              </w:rPr>
            </w:pPr>
            <w:r w:rsidRPr="001B219A">
              <w:rPr>
                <w:rFonts w:asciiTheme="minorHAnsi" w:eastAsia="Calibri" w:hAnsiTheme="minorHAnsi" w:cstheme="minorHAnsi"/>
                <w:sz w:val="28"/>
                <w:szCs w:val="28"/>
              </w:rPr>
              <w:t>Revision:</w:t>
            </w:r>
          </w:p>
        </w:tc>
        <w:tc>
          <w:tcPr>
            <w:tcW w:w="2976" w:type="dxa"/>
            <w:shd w:val="clear" w:color="auto" w:fill="auto"/>
          </w:tcPr>
          <w:p w:rsidR="00CD2839" w:rsidRPr="001B219A" w:rsidRDefault="009D28BE" w:rsidP="00DF2354">
            <w:pPr>
              <w:rPr>
                <w:rFonts w:asciiTheme="minorHAnsi" w:eastAsia="Calibri" w:hAnsiTheme="minorHAnsi" w:cstheme="minorHAnsi"/>
                <w:sz w:val="24"/>
                <w:szCs w:val="24"/>
              </w:rPr>
            </w:pPr>
            <w:r w:rsidRPr="001B219A">
              <w:rPr>
                <w:rFonts w:asciiTheme="minorHAnsi" w:eastAsia="Calibri" w:hAnsiTheme="minorHAnsi" w:cstheme="minorHAnsi"/>
                <w:sz w:val="24"/>
                <w:szCs w:val="24"/>
              </w:rPr>
              <w:t>Draft</w:t>
            </w:r>
          </w:p>
        </w:tc>
      </w:tr>
    </w:tbl>
    <w:p w:rsidR="00DF2354" w:rsidRPr="001B219A" w:rsidRDefault="00DF2354" w:rsidP="00DF2354">
      <w:pPr>
        <w:rPr>
          <w:rFonts w:asciiTheme="minorHAnsi" w:hAnsiTheme="minorHAnsi" w:cstheme="minorHAnsi"/>
          <w:vanish/>
          <w:sz w:val="14"/>
        </w:rPr>
      </w:pPr>
    </w:p>
    <w:tbl>
      <w:tblPr>
        <w:tblpPr w:leftFromText="180" w:rightFromText="180" w:vertAnchor="page" w:horzAnchor="margin" w:tblpY="239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369"/>
      </w:tblGrid>
      <w:tr w:rsidR="00DF2354" w:rsidRPr="001B219A" w:rsidTr="00DF2354">
        <w:tc>
          <w:tcPr>
            <w:tcW w:w="2449" w:type="dxa"/>
            <w:shd w:val="clear" w:color="auto" w:fill="auto"/>
          </w:tcPr>
          <w:p w:rsidR="00CA5698" w:rsidRPr="001B219A" w:rsidRDefault="00CA5698" w:rsidP="00DF2354">
            <w:pPr>
              <w:rPr>
                <w:rFonts w:asciiTheme="minorHAnsi" w:eastAsia="Calibri" w:hAnsiTheme="minorHAnsi" w:cstheme="minorHAnsi"/>
                <w:b/>
                <w:sz w:val="22"/>
                <w:szCs w:val="22"/>
              </w:rPr>
            </w:pPr>
            <w:r w:rsidRPr="001B219A">
              <w:rPr>
                <w:rFonts w:asciiTheme="minorHAnsi" w:eastAsia="Calibri" w:hAnsiTheme="minorHAnsi" w:cstheme="minorHAnsi"/>
                <w:sz w:val="24"/>
                <w:szCs w:val="28"/>
              </w:rPr>
              <w:t>Process:</w:t>
            </w:r>
            <w:r w:rsidRPr="001B219A">
              <w:rPr>
                <w:rFonts w:asciiTheme="minorHAnsi" w:eastAsia="Calibri" w:hAnsiTheme="minorHAnsi" w:cstheme="minorHAnsi"/>
                <w:b/>
                <w:szCs w:val="22"/>
              </w:rPr>
              <w:t xml:space="preserve"> </w:t>
            </w:r>
          </w:p>
        </w:tc>
        <w:tc>
          <w:tcPr>
            <w:tcW w:w="8369" w:type="dxa"/>
            <w:shd w:val="clear" w:color="auto" w:fill="auto"/>
          </w:tcPr>
          <w:p w:rsidR="00CA5698" w:rsidRPr="001B219A" w:rsidRDefault="00CA5698" w:rsidP="00DF2354">
            <w:pPr>
              <w:pStyle w:val="BodyTextIndent"/>
              <w:spacing w:after="120"/>
              <w:ind w:left="0" w:firstLine="0"/>
              <w:jc w:val="left"/>
              <w:rPr>
                <w:rFonts w:asciiTheme="minorHAnsi" w:eastAsia="Calibri" w:hAnsiTheme="minorHAnsi" w:cstheme="minorHAnsi"/>
                <w:b/>
                <w:sz w:val="24"/>
                <w:szCs w:val="24"/>
              </w:rPr>
            </w:pPr>
            <w:r w:rsidRPr="001B219A">
              <w:rPr>
                <w:rFonts w:asciiTheme="minorHAnsi" w:eastAsia="Calibri" w:hAnsiTheme="minorHAnsi" w:cstheme="minorHAnsi"/>
                <w:b/>
                <w:sz w:val="24"/>
                <w:szCs w:val="22"/>
              </w:rPr>
              <w:t xml:space="preserve">Standard Work </w:t>
            </w:r>
            <w:r w:rsidR="00556BC1" w:rsidRPr="001B219A">
              <w:rPr>
                <w:rFonts w:asciiTheme="minorHAnsi" w:eastAsia="Calibri" w:hAnsiTheme="minorHAnsi" w:cstheme="minorHAnsi"/>
                <w:b/>
                <w:sz w:val="24"/>
                <w:szCs w:val="22"/>
              </w:rPr>
              <w:t>Instruction G</w:t>
            </w:r>
            <w:r w:rsidR="0043797A" w:rsidRPr="001B219A">
              <w:rPr>
                <w:rFonts w:asciiTheme="minorHAnsi" w:eastAsia="Calibri" w:hAnsiTheme="minorHAnsi" w:cstheme="minorHAnsi"/>
                <w:b/>
                <w:sz w:val="24"/>
                <w:szCs w:val="22"/>
              </w:rPr>
              <w:t>uide</w:t>
            </w:r>
            <w:r w:rsidR="00556BC1" w:rsidRPr="001B219A">
              <w:rPr>
                <w:rFonts w:asciiTheme="minorHAnsi" w:eastAsia="Calibri" w:hAnsiTheme="minorHAnsi" w:cstheme="minorHAnsi"/>
                <w:b/>
                <w:sz w:val="24"/>
                <w:szCs w:val="22"/>
              </w:rPr>
              <w:t>: Construction Contractor Engagement Survey for Job Order Contracting</w:t>
            </w:r>
            <w:r w:rsidR="001B219A">
              <w:rPr>
                <w:rFonts w:asciiTheme="minorHAnsi" w:eastAsia="Calibri" w:hAnsiTheme="minorHAnsi" w:cstheme="minorHAnsi"/>
                <w:b/>
                <w:sz w:val="24"/>
                <w:szCs w:val="22"/>
              </w:rPr>
              <w:t xml:space="preserve"> (JOC)</w:t>
            </w:r>
            <w:r w:rsidR="00556BC1" w:rsidRPr="001B219A">
              <w:rPr>
                <w:rFonts w:asciiTheme="minorHAnsi" w:eastAsia="Calibri" w:hAnsiTheme="minorHAnsi" w:cstheme="minorHAnsi"/>
                <w:b/>
                <w:sz w:val="24"/>
                <w:szCs w:val="22"/>
              </w:rPr>
              <w:t>- General, Mechanical, Electrical, Plumbing,</w:t>
            </w:r>
            <w:r w:rsidR="00524C1A" w:rsidRPr="001B219A">
              <w:rPr>
                <w:rFonts w:asciiTheme="minorHAnsi" w:eastAsia="Calibri" w:hAnsiTheme="minorHAnsi" w:cstheme="minorHAnsi"/>
                <w:b/>
                <w:sz w:val="24"/>
                <w:szCs w:val="22"/>
              </w:rPr>
              <w:t xml:space="preserve"> Roofing, Fire Alarm</w:t>
            </w:r>
            <w:r w:rsidR="00556BC1" w:rsidRPr="001B219A">
              <w:rPr>
                <w:rFonts w:asciiTheme="minorHAnsi" w:eastAsia="Calibri" w:hAnsiTheme="minorHAnsi" w:cstheme="minorHAnsi"/>
                <w:b/>
                <w:sz w:val="24"/>
                <w:szCs w:val="22"/>
              </w:rPr>
              <w:t xml:space="preserve"> </w:t>
            </w:r>
            <w:r w:rsidR="00EB1F7A">
              <w:rPr>
                <w:rFonts w:asciiTheme="minorHAnsi" w:eastAsia="Calibri" w:hAnsiTheme="minorHAnsi" w:cstheme="minorHAnsi"/>
                <w:b/>
                <w:sz w:val="24"/>
                <w:szCs w:val="22"/>
              </w:rPr>
              <w:t xml:space="preserve">and </w:t>
            </w:r>
            <w:r w:rsidR="00A0425A">
              <w:rPr>
                <w:rFonts w:asciiTheme="minorHAnsi" w:eastAsia="Calibri" w:hAnsiTheme="minorHAnsi" w:cstheme="minorHAnsi"/>
                <w:b/>
                <w:sz w:val="24"/>
                <w:szCs w:val="22"/>
              </w:rPr>
              <w:t>Road, Bridge and Parking Lot P</w:t>
            </w:r>
            <w:r w:rsidR="00524C1A" w:rsidRPr="001B219A">
              <w:rPr>
                <w:rFonts w:asciiTheme="minorHAnsi" w:eastAsia="Calibri" w:hAnsiTheme="minorHAnsi" w:cstheme="minorHAnsi"/>
                <w:b/>
                <w:sz w:val="24"/>
                <w:szCs w:val="22"/>
              </w:rPr>
              <w:t>rojects</w:t>
            </w:r>
          </w:p>
        </w:tc>
      </w:tr>
    </w:tbl>
    <w:p w:rsidR="000C4B2C" w:rsidRPr="001B219A" w:rsidRDefault="000C4B2C" w:rsidP="000C4B2C">
      <w:pPr>
        <w:pStyle w:val="BodyTextIndent"/>
        <w:spacing w:after="120"/>
        <w:ind w:left="0" w:firstLine="0"/>
        <w:jc w:val="left"/>
        <w:rPr>
          <w:rFonts w:asciiTheme="minorHAnsi" w:hAnsiTheme="minorHAnsi" w:cstheme="minorHAnsi"/>
          <w:b/>
          <w:sz w:val="10"/>
        </w:rPr>
      </w:pPr>
    </w:p>
    <w:p w:rsidR="00E84918" w:rsidRPr="001B219A" w:rsidRDefault="00E84918" w:rsidP="000C4B2C">
      <w:pPr>
        <w:pStyle w:val="BodyTextIndent"/>
        <w:spacing w:after="120"/>
        <w:ind w:left="0" w:firstLine="0"/>
        <w:jc w:val="left"/>
        <w:rPr>
          <w:rFonts w:asciiTheme="minorHAnsi" w:hAnsiTheme="minorHAnsi" w:cstheme="minorHAnsi"/>
          <w:b/>
          <w:sz w:val="10"/>
        </w:rPr>
      </w:pPr>
    </w:p>
    <w:p w:rsidR="00E84918" w:rsidRPr="001B219A" w:rsidRDefault="00E84918" w:rsidP="000C4B2C">
      <w:pPr>
        <w:pStyle w:val="BodyTextIndent"/>
        <w:spacing w:after="120"/>
        <w:ind w:left="0" w:firstLine="0"/>
        <w:jc w:val="left"/>
        <w:rPr>
          <w:rFonts w:asciiTheme="minorHAnsi" w:hAnsiTheme="minorHAnsi" w:cstheme="minorHAnsi"/>
          <w:b/>
          <w:sz w:val="10"/>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9225"/>
      </w:tblGrid>
      <w:tr w:rsidR="00EE7704" w:rsidRPr="001B219A" w:rsidTr="00DE4CB9">
        <w:trPr>
          <w:trHeight w:val="797"/>
        </w:trPr>
        <w:tc>
          <w:tcPr>
            <w:tcW w:w="1565" w:type="dxa"/>
            <w:shd w:val="clear" w:color="auto" w:fill="auto"/>
          </w:tcPr>
          <w:p w:rsidR="00EE7704" w:rsidRPr="001B219A" w:rsidRDefault="00EE7704" w:rsidP="00EE7704">
            <w:pPr>
              <w:pStyle w:val="BodyTextIndent"/>
              <w:spacing w:after="120"/>
              <w:ind w:left="0" w:firstLine="0"/>
              <w:jc w:val="left"/>
              <w:rPr>
                <w:rFonts w:asciiTheme="minorHAnsi" w:eastAsia="Calibri" w:hAnsiTheme="minorHAnsi" w:cstheme="minorHAnsi"/>
                <w:b/>
                <w:sz w:val="24"/>
                <w:szCs w:val="22"/>
              </w:rPr>
            </w:pPr>
            <w:r w:rsidRPr="001B219A">
              <w:rPr>
                <w:rFonts w:asciiTheme="minorHAnsi" w:eastAsia="Calibri" w:hAnsiTheme="minorHAnsi" w:cstheme="minorHAnsi"/>
                <w:sz w:val="24"/>
                <w:szCs w:val="28"/>
              </w:rPr>
              <w:t>A. Task / Activity</w:t>
            </w:r>
          </w:p>
        </w:tc>
        <w:tc>
          <w:tcPr>
            <w:tcW w:w="9225" w:type="dxa"/>
            <w:shd w:val="clear" w:color="auto" w:fill="auto"/>
          </w:tcPr>
          <w:p w:rsidR="00EB1F7A" w:rsidRPr="00EB1F7A" w:rsidRDefault="00EE7704" w:rsidP="00524C1A">
            <w:pPr>
              <w:pStyle w:val="BodyTextIndent"/>
              <w:ind w:left="0" w:firstLine="0"/>
              <w:rPr>
                <w:rFonts w:asciiTheme="minorHAnsi" w:eastAsia="Calibri" w:hAnsiTheme="minorHAnsi" w:cstheme="minorHAnsi"/>
                <w:sz w:val="20"/>
                <w:szCs w:val="22"/>
              </w:rPr>
            </w:pPr>
            <w:r w:rsidRPr="001B219A">
              <w:rPr>
                <w:rFonts w:asciiTheme="minorHAnsi" w:eastAsia="Calibri" w:hAnsiTheme="minorHAnsi" w:cstheme="minorHAnsi"/>
                <w:sz w:val="20"/>
                <w:szCs w:val="22"/>
              </w:rPr>
              <w:t xml:space="preserve">The following guide outlines the </w:t>
            </w:r>
            <w:r w:rsidR="00524C1A" w:rsidRPr="001B219A">
              <w:rPr>
                <w:rFonts w:asciiTheme="minorHAnsi" w:eastAsia="Calibri" w:hAnsiTheme="minorHAnsi" w:cstheme="minorHAnsi"/>
                <w:sz w:val="20"/>
                <w:szCs w:val="22"/>
              </w:rPr>
              <w:t>process to complete a Construction Contractor Engagement Survey for the Job Order Contracting</w:t>
            </w:r>
            <w:r w:rsidR="001B219A">
              <w:rPr>
                <w:rFonts w:asciiTheme="minorHAnsi" w:eastAsia="Calibri" w:hAnsiTheme="minorHAnsi" w:cstheme="minorHAnsi"/>
                <w:sz w:val="20"/>
                <w:szCs w:val="22"/>
              </w:rPr>
              <w:t xml:space="preserve"> (JOC)</w:t>
            </w:r>
            <w:r w:rsidR="00524C1A" w:rsidRPr="001B219A">
              <w:rPr>
                <w:rFonts w:asciiTheme="minorHAnsi" w:eastAsia="Calibri" w:hAnsiTheme="minorHAnsi" w:cstheme="minorHAnsi"/>
                <w:sz w:val="20"/>
                <w:szCs w:val="22"/>
              </w:rPr>
              <w:t xml:space="preserve"> Program.  </w:t>
            </w:r>
            <w:r w:rsidRPr="001B219A">
              <w:rPr>
                <w:rFonts w:asciiTheme="minorHAnsi" w:eastAsia="Calibri" w:hAnsiTheme="minorHAnsi" w:cstheme="minorHAnsi"/>
                <w:sz w:val="20"/>
                <w:szCs w:val="22"/>
              </w:rPr>
              <w:t xml:space="preserve">This is a standard guide for </w:t>
            </w:r>
            <w:r w:rsidR="00524C1A" w:rsidRPr="001B219A">
              <w:rPr>
                <w:rFonts w:asciiTheme="minorHAnsi" w:eastAsia="Calibri" w:hAnsiTheme="minorHAnsi" w:cstheme="minorHAnsi"/>
                <w:sz w:val="20"/>
                <w:szCs w:val="22"/>
              </w:rPr>
              <w:t xml:space="preserve">Project Managers, Owner Representatives, </w:t>
            </w:r>
            <w:r w:rsidR="00A0425A">
              <w:rPr>
                <w:rFonts w:asciiTheme="minorHAnsi" w:eastAsia="Calibri" w:hAnsiTheme="minorHAnsi" w:cstheme="minorHAnsi"/>
                <w:sz w:val="20"/>
                <w:szCs w:val="22"/>
              </w:rPr>
              <w:t>Contract and Procurement Managers</w:t>
            </w:r>
            <w:r w:rsidRPr="001B219A">
              <w:rPr>
                <w:rFonts w:asciiTheme="minorHAnsi" w:eastAsia="Calibri" w:hAnsiTheme="minorHAnsi" w:cstheme="minorHAnsi"/>
                <w:sz w:val="20"/>
                <w:szCs w:val="22"/>
              </w:rPr>
              <w:t>.</w:t>
            </w:r>
          </w:p>
        </w:tc>
      </w:tr>
      <w:tr w:rsidR="00EE7704" w:rsidRPr="001B219A" w:rsidTr="00DE4CB9">
        <w:trPr>
          <w:trHeight w:val="797"/>
        </w:trPr>
        <w:tc>
          <w:tcPr>
            <w:tcW w:w="1565" w:type="dxa"/>
            <w:shd w:val="clear" w:color="auto" w:fill="auto"/>
          </w:tcPr>
          <w:p w:rsidR="00EE7704" w:rsidRPr="001B219A" w:rsidRDefault="00EE7704" w:rsidP="00EE7704">
            <w:pPr>
              <w:pStyle w:val="BodyTextIndent"/>
              <w:spacing w:after="120"/>
              <w:ind w:left="0" w:firstLine="0"/>
              <w:jc w:val="left"/>
              <w:rPr>
                <w:rFonts w:asciiTheme="minorHAnsi" w:eastAsia="Calibri" w:hAnsiTheme="minorHAnsi" w:cstheme="minorHAnsi"/>
                <w:szCs w:val="22"/>
              </w:rPr>
            </w:pPr>
            <w:r w:rsidRPr="001B219A">
              <w:rPr>
                <w:rFonts w:asciiTheme="minorHAnsi" w:eastAsia="Calibri" w:hAnsiTheme="minorHAnsi" w:cstheme="minorHAnsi"/>
                <w:szCs w:val="22"/>
              </w:rPr>
              <w:t>Reference Doc</w:t>
            </w:r>
          </w:p>
        </w:tc>
        <w:tc>
          <w:tcPr>
            <w:tcW w:w="9225" w:type="dxa"/>
            <w:shd w:val="clear" w:color="auto" w:fill="auto"/>
          </w:tcPr>
          <w:p w:rsidR="00EE7704" w:rsidRPr="00565BD4" w:rsidRDefault="00A0425A" w:rsidP="00EE7704">
            <w:pPr>
              <w:pStyle w:val="BodyTextIndent"/>
              <w:ind w:left="0" w:firstLine="0"/>
              <w:rPr>
                <w:rFonts w:asciiTheme="minorHAnsi" w:eastAsia="Calibri" w:hAnsiTheme="minorHAnsi" w:cstheme="minorHAnsi"/>
                <w:szCs w:val="22"/>
              </w:rPr>
            </w:pPr>
            <w:r>
              <w:rPr>
                <w:rFonts w:asciiTheme="minorHAnsi" w:eastAsia="Calibri" w:hAnsiTheme="minorHAnsi" w:cstheme="minorHAnsi"/>
                <w:szCs w:val="22"/>
              </w:rPr>
              <w:t xml:space="preserve">JOC </w:t>
            </w:r>
            <w:r w:rsidR="004E467A" w:rsidRPr="00565BD4">
              <w:rPr>
                <w:rFonts w:asciiTheme="minorHAnsi" w:eastAsia="Calibri" w:hAnsiTheme="minorHAnsi" w:cstheme="minorHAnsi"/>
                <w:szCs w:val="22"/>
              </w:rPr>
              <w:t xml:space="preserve">Construction </w:t>
            </w:r>
            <w:r w:rsidR="001B219A" w:rsidRPr="00565BD4">
              <w:rPr>
                <w:rFonts w:asciiTheme="minorHAnsi" w:eastAsia="Calibri" w:hAnsiTheme="minorHAnsi" w:cstheme="minorHAnsi"/>
                <w:szCs w:val="22"/>
              </w:rPr>
              <w:t xml:space="preserve">Contractor Engagement Survey Form              </w:t>
            </w:r>
            <w:r w:rsidR="001B219A" w:rsidRPr="00CC0859">
              <w:rPr>
                <w:rFonts w:asciiTheme="minorHAnsi" w:eastAsia="Calibri" w:hAnsiTheme="minorHAnsi" w:cstheme="minorHAnsi"/>
                <w:b/>
                <w:szCs w:val="22"/>
              </w:rPr>
              <w:t>PROJECTS GREATER THAN $25,000</w:t>
            </w:r>
          </w:p>
          <w:p w:rsidR="006E6F00" w:rsidRPr="001B219A" w:rsidRDefault="006E6F00" w:rsidP="00DE4CB9">
            <w:pPr>
              <w:rPr>
                <w:rFonts w:asciiTheme="minorHAnsi" w:eastAsia="Calibri" w:hAnsiTheme="minorHAnsi" w:cstheme="minorHAnsi"/>
                <w:b/>
                <w:szCs w:val="22"/>
              </w:rPr>
            </w:pPr>
            <w:r w:rsidRPr="00565BD4">
              <w:rPr>
                <w:rFonts w:asciiTheme="minorHAnsi" w:hAnsiTheme="minorHAnsi" w:cstheme="minorHAnsi"/>
                <w:sz w:val="16"/>
                <w:szCs w:val="16"/>
              </w:rPr>
              <w:t>The form will be updated periodically by the Procurement Manager.  Please send comments regarding</w:t>
            </w:r>
            <w:r w:rsidR="00A0425A">
              <w:rPr>
                <w:rFonts w:asciiTheme="minorHAnsi" w:hAnsiTheme="minorHAnsi" w:cstheme="minorHAnsi"/>
                <w:sz w:val="16"/>
                <w:szCs w:val="16"/>
              </w:rPr>
              <w:t xml:space="preserve"> improvements to</w:t>
            </w:r>
            <w:r w:rsidRPr="00565BD4">
              <w:rPr>
                <w:rFonts w:asciiTheme="minorHAnsi" w:hAnsiTheme="minorHAnsi" w:cstheme="minorHAnsi"/>
                <w:sz w:val="16"/>
                <w:szCs w:val="16"/>
              </w:rPr>
              <w:t xml:space="preserve"> the form to </w:t>
            </w:r>
            <w:hyperlink r:id="rId8" w:history="1">
              <w:r w:rsidRPr="00565BD4">
                <w:rPr>
                  <w:rStyle w:val="Hyperlink"/>
                  <w:rFonts w:asciiTheme="minorHAnsi" w:hAnsiTheme="minorHAnsi" w:cstheme="minorHAnsi"/>
                  <w:sz w:val="16"/>
                  <w:szCs w:val="16"/>
                </w:rPr>
                <w:t>constructionengagementsurvey@azdoa.gov</w:t>
              </w:r>
            </w:hyperlink>
            <w:r w:rsidRPr="00565BD4">
              <w:rPr>
                <w:rFonts w:asciiTheme="minorHAnsi" w:hAnsiTheme="minorHAnsi" w:cstheme="minorHAnsi"/>
                <w:sz w:val="16"/>
                <w:szCs w:val="16"/>
              </w:rPr>
              <w:t>.</w:t>
            </w:r>
          </w:p>
        </w:tc>
      </w:tr>
    </w:tbl>
    <w:p w:rsidR="00E47EF3" w:rsidRPr="00E47EF3" w:rsidRDefault="00E47EF3" w:rsidP="00E47EF3"/>
    <w:tbl>
      <w:tblPr>
        <w:tblpPr w:leftFromText="180" w:rightFromText="180" w:vertAnchor="page" w:horzAnchor="margin" w:tblpY="559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500"/>
        <w:gridCol w:w="2387"/>
        <w:gridCol w:w="6503"/>
      </w:tblGrid>
      <w:tr w:rsidR="00EE7704" w:rsidRPr="00DF2354" w:rsidTr="004D3AFC">
        <w:trPr>
          <w:trHeight w:val="533"/>
        </w:trPr>
        <w:tc>
          <w:tcPr>
            <w:tcW w:w="1428" w:type="dxa"/>
            <w:shd w:val="clear" w:color="auto" w:fill="auto"/>
          </w:tcPr>
          <w:p w:rsidR="00EE7704" w:rsidRPr="00DF2354" w:rsidRDefault="00EE7704" w:rsidP="00EE7704">
            <w:pPr>
              <w:rPr>
                <w:rFonts w:ascii="Calibri" w:eastAsia="Calibri" w:hAnsi="Calibri"/>
                <w:b/>
                <w:sz w:val="28"/>
                <w:szCs w:val="28"/>
              </w:rPr>
            </w:pPr>
            <w:r w:rsidRPr="00DF2354">
              <w:rPr>
                <w:rFonts w:ascii="Calibri" w:eastAsia="Calibri" w:hAnsi="Calibri"/>
                <w:b/>
                <w:sz w:val="28"/>
                <w:szCs w:val="28"/>
              </w:rPr>
              <w:t>Frequency</w:t>
            </w:r>
          </w:p>
        </w:tc>
        <w:tc>
          <w:tcPr>
            <w:tcW w:w="2887" w:type="dxa"/>
            <w:gridSpan w:val="2"/>
            <w:shd w:val="clear" w:color="auto" w:fill="auto"/>
          </w:tcPr>
          <w:p w:rsidR="00AE3D33" w:rsidRPr="004D3AFC" w:rsidRDefault="00AE3D33" w:rsidP="00AE3D33">
            <w:pPr>
              <w:rPr>
                <w:rFonts w:ascii="Calibri" w:eastAsia="Calibri" w:hAnsi="Calibri"/>
                <w:b/>
                <w:sz w:val="24"/>
                <w:szCs w:val="24"/>
              </w:rPr>
            </w:pPr>
            <w:r w:rsidRPr="004D3AFC">
              <w:rPr>
                <w:rFonts w:ascii="Calibri" w:eastAsia="Calibri" w:hAnsi="Calibri"/>
                <w:b/>
                <w:sz w:val="24"/>
                <w:szCs w:val="24"/>
              </w:rPr>
              <w:t xml:space="preserve">Action </w:t>
            </w:r>
            <w:r w:rsidR="005C2235" w:rsidRPr="005C2235">
              <w:rPr>
                <w:rFonts w:ascii="Calibri" w:eastAsia="Calibri" w:hAnsi="Calibri"/>
                <w:sz w:val="24"/>
                <w:szCs w:val="24"/>
              </w:rPr>
              <w:t>|</w:t>
            </w:r>
            <w:r w:rsidRPr="005C2235">
              <w:rPr>
                <w:rFonts w:ascii="Calibri" w:eastAsia="Calibri" w:hAnsi="Calibri"/>
                <w:sz w:val="24"/>
                <w:szCs w:val="24"/>
              </w:rPr>
              <w:t xml:space="preserve"> </w:t>
            </w:r>
            <w:r w:rsidRPr="004D3AFC">
              <w:rPr>
                <w:rFonts w:ascii="Calibri" w:eastAsia="Calibri" w:hAnsi="Calibri"/>
                <w:b/>
                <w:sz w:val="24"/>
                <w:szCs w:val="24"/>
              </w:rPr>
              <w:t>Responsible</w:t>
            </w:r>
          </w:p>
          <w:p w:rsidR="00EE7704" w:rsidRPr="00AE3D33" w:rsidRDefault="00AE3D33" w:rsidP="00AE3D33">
            <w:pPr>
              <w:rPr>
                <w:rFonts w:ascii="Calibri" w:eastAsia="Calibri" w:hAnsi="Calibri"/>
              </w:rPr>
            </w:pPr>
            <w:r w:rsidRPr="004D3AFC">
              <w:rPr>
                <w:rFonts w:ascii="Calibri" w:eastAsia="Calibri" w:hAnsi="Calibri"/>
                <w:b/>
                <w:sz w:val="24"/>
                <w:szCs w:val="24"/>
              </w:rPr>
              <w:t>Item</w:t>
            </w:r>
            <w:r w:rsidRPr="00AE3D33">
              <w:rPr>
                <w:rFonts w:ascii="Calibri" w:eastAsia="Calibri" w:hAnsi="Calibri"/>
                <w:b/>
              </w:rPr>
              <w:t xml:space="preserve"> </w:t>
            </w:r>
            <w:r>
              <w:rPr>
                <w:rFonts w:ascii="Calibri" w:eastAsia="Calibri" w:hAnsi="Calibri"/>
                <w:b/>
              </w:rPr>
              <w:t xml:space="preserve">   </w:t>
            </w:r>
            <w:r w:rsidR="005C2235">
              <w:rPr>
                <w:rFonts w:ascii="Calibri" w:eastAsia="Calibri" w:hAnsi="Calibri"/>
                <w:b/>
              </w:rPr>
              <w:t xml:space="preserve">  </w:t>
            </w:r>
          </w:p>
        </w:tc>
        <w:tc>
          <w:tcPr>
            <w:tcW w:w="6503" w:type="dxa"/>
            <w:shd w:val="clear" w:color="auto" w:fill="auto"/>
          </w:tcPr>
          <w:p w:rsidR="00EE7704" w:rsidRPr="00DF2354" w:rsidRDefault="00EE7704" w:rsidP="00EE7704">
            <w:pPr>
              <w:jc w:val="center"/>
              <w:rPr>
                <w:rFonts w:ascii="Calibri" w:eastAsia="Calibri" w:hAnsi="Calibri"/>
                <w:b/>
                <w:sz w:val="28"/>
                <w:szCs w:val="28"/>
              </w:rPr>
            </w:pPr>
            <w:r w:rsidRPr="00DF2354">
              <w:rPr>
                <w:rFonts w:ascii="Calibri" w:eastAsia="Calibri" w:hAnsi="Calibri"/>
                <w:b/>
                <w:sz w:val="28"/>
                <w:szCs w:val="28"/>
              </w:rPr>
              <w:t>Action Detail / Key Points</w:t>
            </w:r>
          </w:p>
        </w:tc>
      </w:tr>
      <w:tr w:rsidR="00EE7704" w:rsidRPr="00DF2354" w:rsidTr="00EE7704">
        <w:trPr>
          <w:trHeight w:val="309"/>
        </w:trPr>
        <w:tc>
          <w:tcPr>
            <w:tcW w:w="10818" w:type="dxa"/>
            <w:gridSpan w:val="4"/>
            <w:shd w:val="clear" w:color="auto" w:fill="auto"/>
          </w:tcPr>
          <w:p w:rsidR="00EE7704" w:rsidRPr="00DF2354" w:rsidRDefault="00EE7704" w:rsidP="00EE7704">
            <w:pPr>
              <w:jc w:val="center"/>
              <w:rPr>
                <w:rFonts w:ascii="Calibri" w:eastAsia="Calibri" w:hAnsi="Calibri"/>
                <w:b/>
                <w:sz w:val="24"/>
                <w:szCs w:val="24"/>
              </w:rPr>
            </w:pPr>
            <w:r w:rsidRPr="00DF2354">
              <w:rPr>
                <w:rFonts w:ascii="Calibri" w:eastAsia="Calibri" w:hAnsi="Calibri"/>
                <w:b/>
                <w:sz w:val="24"/>
                <w:szCs w:val="24"/>
              </w:rPr>
              <w:t>Starting Process</w:t>
            </w:r>
          </w:p>
        </w:tc>
      </w:tr>
      <w:tr w:rsidR="00DE4CB9" w:rsidRPr="006E6F00" w:rsidTr="001671D8">
        <w:trPr>
          <w:trHeight w:val="245"/>
        </w:trPr>
        <w:tc>
          <w:tcPr>
            <w:tcW w:w="1428" w:type="dxa"/>
            <w:shd w:val="clear" w:color="auto" w:fill="auto"/>
          </w:tcPr>
          <w:p w:rsidR="00DE4CB9" w:rsidRPr="006E6F00" w:rsidRDefault="00DE4CB9" w:rsidP="00EE7704">
            <w:pPr>
              <w:rPr>
                <w:rFonts w:asciiTheme="minorHAnsi" w:eastAsia="Calibri" w:hAnsiTheme="minorHAnsi" w:cstheme="minorHAnsi"/>
              </w:rPr>
            </w:pPr>
          </w:p>
        </w:tc>
        <w:tc>
          <w:tcPr>
            <w:tcW w:w="500" w:type="dxa"/>
            <w:shd w:val="clear" w:color="auto" w:fill="auto"/>
          </w:tcPr>
          <w:p w:rsidR="00DE4CB9" w:rsidRPr="006E6F00" w:rsidRDefault="00DE4CB9" w:rsidP="00EE7704">
            <w:pPr>
              <w:jc w:val="center"/>
              <w:rPr>
                <w:rFonts w:asciiTheme="minorHAnsi" w:eastAsia="Calibri" w:hAnsiTheme="minorHAnsi" w:cstheme="minorHAnsi"/>
              </w:rPr>
            </w:pPr>
          </w:p>
        </w:tc>
        <w:tc>
          <w:tcPr>
            <w:tcW w:w="2387" w:type="dxa"/>
            <w:shd w:val="clear" w:color="auto" w:fill="auto"/>
          </w:tcPr>
          <w:p w:rsidR="00DE4CB9" w:rsidRPr="006E6F00" w:rsidRDefault="00DE4CB9" w:rsidP="00EE7704">
            <w:pPr>
              <w:rPr>
                <w:rFonts w:asciiTheme="minorHAnsi" w:eastAsia="Calibri" w:hAnsiTheme="minorHAnsi" w:cstheme="minorHAnsi"/>
              </w:rPr>
            </w:pPr>
          </w:p>
        </w:tc>
        <w:tc>
          <w:tcPr>
            <w:tcW w:w="6503" w:type="dxa"/>
            <w:shd w:val="clear" w:color="auto" w:fill="auto"/>
          </w:tcPr>
          <w:p w:rsidR="00DE4CB9" w:rsidRDefault="00DE4CB9" w:rsidP="00E33FED">
            <w:pPr>
              <w:rPr>
                <w:rFonts w:asciiTheme="minorHAnsi" w:eastAsia="Calibri" w:hAnsiTheme="minorHAnsi" w:cstheme="minorHAnsi"/>
              </w:rPr>
            </w:pPr>
          </w:p>
        </w:tc>
      </w:tr>
      <w:tr w:rsidR="00EE7704" w:rsidRPr="006E6F00" w:rsidTr="00EE7704">
        <w:trPr>
          <w:trHeight w:val="576"/>
        </w:trPr>
        <w:tc>
          <w:tcPr>
            <w:tcW w:w="1428" w:type="dxa"/>
            <w:shd w:val="clear" w:color="auto" w:fill="auto"/>
          </w:tcPr>
          <w:p w:rsidR="00EE7704" w:rsidRPr="006E6F00" w:rsidRDefault="00E33FED" w:rsidP="00EE7704">
            <w:pPr>
              <w:rPr>
                <w:rFonts w:asciiTheme="minorHAnsi" w:eastAsia="Calibri" w:hAnsiTheme="minorHAnsi" w:cstheme="minorHAnsi"/>
              </w:rPr>
            </w:pPr>
            <w:r w:rsidRPr="006E6F00">
              <w:rPr>
                <w:rFonts w:asciiTheme="minorHAnsi" w:eastAsia="Calibri" w:hAnsiTheme="minorHAnsi" w:cstheme="minorHAnsi"/>
              </w:rPr>
              <w:t>First Time</w:t>
            </w:r>
          </w:p>
        </w:tc>
        <w:tc>
          <w:tcPr>
            <w:tcW w:w="500" w:type="dxa"/>
            <w:shd w:val="clear" w:color="auto" w:fill="auto"/>
          </w:tcPr>
          <w:p w:rsidR="00EE7704" w:rsidRPr="006E6F00" w:rsidRDefault="00E5668F" w:rsidP="00EE7704">
            <w:pPr>
              <w:jc w:val="center"/>
              <w:rPr>
                <w:rFonts w:asciiTheme="minorHAnsi" w:eastAsia="Calibri" w:hAnsiTheme="minorHAnsi" w:cstheme="minorHAnsi"/>
              </w:rPr>
            </w:pPr>
            <w:r>
              <w:rPr>
                <w:rFonts w:asciiTheme="minorHAnsi" w:eastAsia="Calibri" w:hAnsiTheme="minorHAnsi" w:cstheme="minorHAnsi"/>
              </w:rPr>
              <w:t>1</w:t>
            </w:r>
          </w:p>
        </w:tc>
        <w:tc>
          <w:tcPr>
            <w:tcW w:w="2387" w:type="dxa"/>
            <w:shd w:val="clear" w:color="auto" w:fill="auto"/>
          </w:tcPr>
          <w:p w:rsidR="00EE7704" w:rsidRPr="006E6F00" w:rsidRDefault="00E33FED" w:rsidP="00EE7704">
            <w:pPr>
              <w:rPr>
                <w:rFonts w:asciiTheme="minorHAnsi" w:eastAsia="Calibri" w:hAnsiTheme="minorHAnsi" w:cstheme="minorHAnsi"/>
              </w:rPr>
            </w:pPr>
            <w:r w:rsidRPr="006E6F00">
              <w:rPr>
                <w:rFonts w:asciiTheme="minorHAnsi" w:eastAsia="Calibri" w:hAnsiTheme="minorHAnsi" w:cstheme="minorHAnsi"/>
              </w:rPr>
              <w:t>Project Manager or Owner’s Representative</w:t>
            </w:r>
            <w:r w:rsidR="001B219A" w:rsidRPr="006E6F00">
              <w:rPr>
                <w:rFonts w:asciiTheme="minorHAnsi" w:eastAsia="Calibri" w:hAnsiTheme="minorHAnsi" w:cstheme="minorHAnsi"/>
              </w:rPr>
              <w:t xml:space="preserve"> for the State or Co-Op Agency who oversaw the JOC project.</w:t>
            </w:r>
          </w:p>
          <w:p w:rsidR="006E6F00" w:rsidRPr="006E6F00" w:rsidRDefault="006E6F00" w:rsidP="00EE7704">
            <w:pPr>
              <w:rPr>
                <w:rFonts w:asciiTheme="minorHAnsi" w:eastAsia="Calibri" w:hAnsiTheme="minorHAnsi" w:cstheme="minorHAnsi"/>
              </w:rPr>
            </w:pPr>
          </w:p>
        </w:tc>
        <w:tc>
          <w:tcPr>
            <w:tcW w:w="6503" w:type="dxa"/>
            <w:shd w:val="clear" w:color="auto" w:fill="auto"/>
          </w:tcPr>
          <w:p w:rsidR="00CC0859" w:rsidRDefault="00CC0859" w:rsidP="00E33FED">
            <w:pPr>
              <w:rPr>
                <w:rFonts w:asciiTheme="minorHAnsi" w:eastAsia="Calibri" w:hAnsiTheme="minorHAnsi" w:cstheme="minorHAnsi"/>
              </w:rPr>
            </w:pPr>
            <w:r>
              <w:rPr>
                <w:rFonts w:asciiTheme="minorHAnsi" w:eastAsia="Calibri" w:hAnsiTheme="minorHAnsi" w:cstheme="minorHAnsi"/>
              </w:rPr>
              <w:t xml:space="preserve">For JOC Projects great than $25,000- </w:t>
            </w:r>
          </w:p>
          <w:p w:rsidR="00E33FED" w:rsidRPr="006E6F00" w:rsidRDefault="00E33FED" w:rsidP="00E33FED">
            <w:pPr>
              <w:rPr>
                <w:rFonts w:asciiTheme="minorHAnsi" w:eastAsia="Calibri" w:hAnsiTheme="minorHAnsi" w:cstheme="minorHAnsi"/>
              </w:rPr>
            </w:pPr>
            <w:r w:rsidRPr="006E6F00">
              <w:rPr>
                <w:rFonts w:asciiTheme="minorHAnsi" w:eastAsia="Calibri" w:hAnsiTheme="minorHAnsi" w:cstheme="minorHAnsi"/>
              </w:rPr>
              <w:t>Obtain Construction Contractor Engagement Survey Form:</w:t>
            </w:r>
          </w:p>
          <w:p w:rsidR="00E33FED" w:rsidRPr="006E6F00" w:rsidRDefault="00E33FED" w:rsidP="00E33FED">
            <w:pPr>
              <w:rPr>
                <w:rFonts w:asciiTheme="minorHAnsi" w:eastAsia="Calibri" w:hAnsiTheme="minorHAnsi" w:cstheme="minorHAnsi"/>
              </w:rPr>
            </w:pPr>
            <w:r w:rsidRPr="006E6F00">
              <w:rPr>
                <w:rFonts w:asciiTheme="minorHAnsi" w:eastAsia="Calibri" w:hAnsiTheme="minorHAnsi" w:cstheme="minorHAnsi"/>
              </w:rPr>
              <w:t>-from Procurement</w:t>
            </w:r>
            <w:r w:rsidR="006E6F00" w:rsidRPr="006E6F00">
              <w:rPr>
                <w:rFonts w:asciiTheme="minorHAnsi" w:eastAsia="Calibri" w:hAnsiTheme="minorHAnsi" w:cstheme="minorHAnsi"/>
              </w:rPr>
              <w:t xml:space="preserve"> Manag</w:t>
            </w:r>
            <w:r w:rsidRPr="006E6F00">
              <w:rPr>
                <w:rFonts w:asciiTheme="minorHAnsi" w:eastAsia="Calibri" w:hAnsiTheme="minorHAnsi" w:cstheme="minorHAnsi"/>
              </w:rPr>
              <w:t xml:space="preserve">er: </w:t>
            </w:r>
            <w:hyperlink r:id="rId9" w:history="1">
              <w:r w:rsidRPr="006E6F00">
                <w:rPr>
                  <w:rStyle w:val="Hyperlink"/>
                  <w:rFonts w:asciiTheme="minorHAnsi" w:eastAsia="Calibri" w:hAnsiTheme="minorHAnsi" w:cstheme="minorHAnsi"/>
                </w:rPr>
                <w:t>eric.peterson@azdoa.gov</w:t>
              </w:r>
            </w:hyperlink>
          </w:p>
          <w:p w:rsidR="001B219A" w:rsidRPr="006E6F00" w:rsidRDefault="00E33FED" w:rsidP="001B219A">
            <w:pPr>
              <w:rPr>
                <w:rFonts w:asciiTheme="minorHAnsi" w:hAnsiTheme="minorHAnsi" w:cstheme="minorHAnsi"/>
              </w:rPr>
            </w:pPr>
            <w:r w:rsidRPr="006E6F00">
              <w:rPr>
                <w:rFonts w:asciiTheme="minorHAnsi" w:eastAsia="Calibri" w:hAnsiTheme="minorHAnsi" w:cstheme="minorHAnsi"/>
              </w:rPr>
              <w:t>-from</w:t>
            </w:r>
            <w:r w:rsidR="001B219A" w:rsidRPr="006E6F00">
              <w:rPr>
                <w:rFonts w:asciiTheme="minorHAnsi" w:eastAsia="Calibri" w:hAnsiTheme="minorHAnsi" w:cstheme="minorHAnsi"/>
              </w:rPr>
              <w:t xml:space="preserve"> email</w:t>
            </w:r>
            <w:r w:rsidRPr="006E6F00">
              <w:rPr>
                <w:rFonts w:asciiTheme="minorHAnsi" w:eastAsia="Calibri" w:hAnsiTheme="minorHAnsi" w:cstheme="minorHAnsi"/>
              </w:rPr>
              <w:t xml:space="preserve"> </w:t>
            </w:r>
            <w:r w:rsidR="001B219A" w:rsidRPr="006E6F00">
              <w:rPr>
                <w:rFonts w:asciiTheme="minorHAnsi" w:eastAsia="Calibri" w:hAnsiTheme="minorHAnsi" w:cstheme="minorHAnsi"/>
              </w:rPr>
              <w:t>request to</w:t>
            </w:r>
            <w:r w:rsidR="006E6F00" w:rsidRPr="006E6F00">
              <w:rPr>
                <w:rFonts w:asciiTheme="minorHAnsi" w:eastAsia="Calibri" w:hAnsiTheme="minorHAnsi" w:cstheme="minorHAnsi"/>
              </w:rPr>
              <w:t>:</w:t>
            </w:r>
            <w:r w:rsidR="001B219A" w:rsidRPr="006E6F00">
              <w:rPr>
                <w:rFonts w:asciiTheme="minorHAnsi" w:eastAsia="Calibri" w:hAnsiTheme="minorHAnsi" w:cstheme="minorHAnsi"/>
              </w:rPr>
              <w:t xml:space="preserve"> </w:t>
            </w:r>
            <w:hyperlink r:id="rId10" w:history="1">
              <w:r w:rsidR="001B219A" w:rsidRPr="006E6F00">
                <w:rPr>
                  <w:rStyle w:val="Hyperlink"/>
                  <w:rFonts w:asciiTheme="minorHAnsi" w:hAnsiTheme="minorHAnsi" w:cstheme="minorHAnsi"/>
                </w:rPr>
                <w:t>constructionengagementsurvey@azdoa.gov</w:t>
              </w:r>
            </w:hyperlink>
            <w:r w:rsidR="001B219A" w:rsidRPr="006E6F00">
              <w:rPr>
                <w:rFonts w:asciiTheme="minorHAnsi" w:hAnsiTheme="minorHAnsi" w:cstheme="minorHAnsi"/>
              </w:rPr>
              <w:t>.</w:t>
            </w:r>
          </w:p>
          <w:p w:rsidR="006E6F00" w:rsidRPr="006E6F00" w:rsidRDefault="006E6F00" w:rsidP="006E6F00">
            <w:pPr>
              <w:rPr>
                <w:rFonts w:asciiTheme="minorHAnsi" w:eastAsia="Calibri" w:hAnsiTheme="minorHAnsi" w:cstheme="minorHAnsi"/>
              </w:rPr>
            </w:pPr>
            <w:r w:rsidRPr="006E6F00">
              <w:rPr>
                <w:rFonts w:asciiTheme="minorHAnsi" w:eastAsia="Calibri" w:hAnsiTheme="minorHAnsi" w:cstheme="minorHAnsi"/>
              </w:rPr>
              <w:t xml:space="preserve">-from Solicitation or Master Blanket ProcureAZ </w:t>
            </w:r>
            <w:r w:rsidR="00E5668F">
              <w:rPr>
                <w:rFonts w:asciiTheme="minorHAnsi" w:eastAsia="Calibri" w:hAnsiTheme="minorHAnsi" w:cstheme="minorHAnsi"/>
              </w:rPr>
              <w:t xml:space="preserve">Contractor </w:t>
            </w:r>
            <w:r w:rsidRPr="006E6F00">
              <w:rPr>
                <w:rFonts w:asciiTheme="minorHAnsi" w:eastAsia="Calibri" w:hAnsiTheme="minorHAnsi" w:cstheme="minorHAnsi"/>
              </w:rPr>
              <w:t>file</w:t>
            </w:r>
          </w:p>
          <w:p w:rsidR="00E33FED" w:rsidRPr="006E6F00" w:rsidRDefault="00E33FED" w:rsidP="00E33FED">
            <w:pPr>
              <w:rPr>
                <w:rFonts w:asciiTheme="minorHAnsi" w:eastAsia="Calibri" w:hAnsiTheme="minorHAnsi" w:cstheme="minorHAnsi"/>
              </w:rPr>
            </w:pPr>
          </w:p>
        </w:tc>
      </w:tr>
      <w:tr w:rsidR="00EE7704" w:rsidRPr="006E6F00" w:rsidTr="00EE7704">
        <w:trPr>
          <w:trHeight w:val="618"/>
        </w:trPr>
        <w:tc>
          <w:tcPr>
            <w:tcW w:w="1428" w:type="dxa"/>
            <w:shd w:val="clear" w:color="auto" w:fill="auto"/>
          </w:tcPr>
          <w:p w:rsidR="00EE7704" w:rsidRPr="006E6F00" w:rsidRDefault="006E6F00" w:rsidP="00EE7704">
            <w:pPr>
              <w:rPr>
                <w:rFonts w:asciiTheme="minorHAnsi" w:eastAsia="Calibri" w:hAnsiTheme="minorHAnsi" w:cstheme="minorHAnsi"/>
              </w:rPr>
            </w:pPr>
            <w:r w:rsidRPr="006E6F00">
              <w:rPr>
                <w:rFonts w:asciiTheme="minorHAnsi" w:eastAsia="Calibri" w:hAnsiTheme="minorHAnsi" w:cstheme="minorHAnsi"/>
              </w:rPr>
              <w:t>Once</w:t>
            </w:r>
          </w:p>
        </w:tc>
        <w:tc>
          <w:tcPr>
            <w:tcW w:w="500" w:type="dxa"/>
            <w:shd w:val="clear" w:color="auto" w:fill="auto"/>
          </w:tcPr>
          <w:p w:rsidR="00EE7704" w:rsidRPr="006E6F00" w:rsidRDefault="00E5668F" w:rsidP="00EE7704">
            <w:pPr>
              <w:jc w:val="center"/>
              <w:rPr>
                <w:rFonts w:asciiTheme="minorHAnsi" w:eastAsia="Calibri" w:hAnsiTheme="minorHAnsi" w:cstheme="minorHAnsi"/>
              </w:rPr>
            </w:pPr>
            <w:r>
              <w:rPr>
                <w:rFonts w:asciiTheme="minorHAnsi" w:eastAsia="Calibri" w:hAnsiTheme="minorHAnsi" w:cstheme="minorHAnsi"/>
              </w:rPr>
              <w:t>2</w:t>
            </w:r>
          </w:p>
        </w:tc>
        <w:tc>
          <w:tcPr>
            <w:tcW w:w="2387" w:type="dxa"/>
            <w:shd w:val="clear" w:color="auto" w:fill="auto"/>
          </w:tcPr>
          <w:p w:rsidR="00EE7704" w:rsidRPr="006E6F00" w:rsidRDefault="006E6F00" w:rsidP="00EE7704">
            <w:pPr>
              <w:rPr>
                <w:rFonts w:asciiTheme="minorHAnsi" w:eastAsia="Calibri" w:hAnsiTheme="minorHAnsi" w:cstheme="minorHAnsi"/>
              </w:rPr>
            </w:pPr>
            <w:r w:rsidRPr="006E6F00">
              <w:rPr>
                <w:rFonts w:asciiTheme="minorHAnsi" w:eastAsia="Calibri" w:hAnsiTheme="minorHAnsi" w:cstheme="minorHAnsi"/>
              </w:rPr>
              <w:t>Project Manager or Owner’s Representative for the State or Co-Op Agency who oversaw the JOC project.</w:t>
            </w:r>
          </w:p>
          <w:p w:rsidR="006E6F00" w:rsidRPr="006E6F00" w:rsidRDefault="006E6F00" w:rsidP="00EE7704">
            <w:pPr>
              <w:rPr>
                <w:rFonts w:asciiTheme="minorHAnsi" w:eastAsia="Calibri" w:hAnsiTheme="minorHAnsi" w:cstheme="minorHAnsi"/>
              </w:rPr>
            </w:pPr>
          </w:p>
        </w:tc>
        <w:tc>
          <w:tcPr>
            <w:tcW w:w="6503" w:type="dxa"/>
            <w:shd w:val="clear" w:color="auto" w:fill="auto"/>
          </w:tcPr>
          <w:p w:rsidR="00AE3D33" w:rsidRDefault="006E6F00" w:rsidP="00EE7704">
            <w:pPr>
              <w:rPr>
                <w:rFonts w:asciiTheme="minorHAnsi" w:hAnsiTheme="minorHAnsi" w:cstheme="minorHAnsi"/>
              </w:rPr>
            </w:pPr>
            <w:r w:rsidRPr="006E6F00">
              <w:rPr>
                <w:rFonts w:asciiTheme="minorHAnsi" w:eastAsia="Calibri" w:hAnsiTheme="minorHAnsi" w:cstheme="minorHAnsi"/>
              </w:rPr>
              <w:t xml:space="preserve">Complete the </w:t>
            </w:r>
            <w:r>
              <w:rPr>
                <w:rFonts w:asciiTheme="minorHAnsi" w:eastAsia="Calibri" w:hAnsiTheme="minorHAnsi" w:cstheme="minorHAnsi"/>
              </w:rPr>
              <w:t>Construction Contractor Engagement Survey</w:t>
            </w:r>
            <w:r w:rsidR="00565BD4">
              <w:rPr>
                <w:rFonts w:asciiTheme="minorHAnsi" w:eastAsia="Calibri" w:hAnsiTheme="minorHAnsi" w:cstheme="minorHAnsi"/>
              </w:rPr>
              <w:t xml:space="preserve">.  Send </w:t>
            </w:r>
            <w:r w:rsidR="00A576E8">
              <w:rPr>
                <w:rFonts w:asciiTheme="minorHAnsi" w:eastAsia="Calibri" w:hAnsiTheme="minorHAnsi" w:cstheme="minorHAnsi"/>
              </w:rPr>
              <w:t xml:space="preserve">the </w:t>
            </w:r>
            <w:r w:rsidR="00E5668F">
              <w:rPr>
                <w:rFonts w:asciiTheme="minorHAnsi" w:eastAsia="Calibri" w:hAnsiTheme="minorHAnsi" w:cstheme="minorHAnsi"/>
              </w:rPr>
              <w:t xml:space="preserve">Survey in the form of the </w:t>
            </w:r>
            <w:r w:rsidR="00A576E8">
              <w:rPr>
                <w:rFonts w:asciiTheme="minorHAnsi" w:eastAsia="Calibri" w:hAnsiTheme="minorHAnsi" w:cstheme="minorHAnsi"/>
              </w:rPr>
              <w:t xml:space="preserve">excel spreadsheet via email </w:t>
            </w:r>
            <w:r w:rsidR="00565BD4">
              <w:rPr>
                <w:rFonts w:asciiTheme="minorHAnsi" w:eastAsia="Calibri" w:hAnsiTheme="minorHAnsi" w:cstheme="minorHAnsi"/>
              </w:rPr>
              <w:t xml:space="preserve">to </w:t>
            </w:r>
            <w:hyperlink r:id="rId11" w:history="1">
              <w:r w:rsidR="00565BD4" w:rsidRPr="006E6F00">
                <w:rPr>
                  <w:rStyle w:val="Hyperlink"/>
                  <w:rFonts w:asciiTheme="minorHAnsi" w:hAnsiTheme="minorHAnsi" w:cstheme="minorHAnsi"/>
                </w:rPr>
                <w:t>constructionengagementsurvey@azdoa.gov</w:t>
              </w:r>
            </w:hyperlink>
            <w:r w:rsidR="00565BD4">
              <w:rPr>
                <w:rFonts w:asciiTheme="minorHAnsi" w:hAnsiTheme="minorHAnsi" w:cstheme="minorHAnsi"/>
              </w:rPr>
              <w:t xml:space="preserve"> and the Contractor </w:t>
            </w:r>
            <w:r w:rsidR="005C2235">
              <w:rPr>
                <w:rFonts w:asciiTheme="minorHAnsi" w:hAnsiTheme="minorHAnsi" w:cstheme="minorHAnsi"/>
              </w:rPr>
              <w:t>simultaneously</w:t>
            </w:r>
            <w:r w:rsidR="00E5668F">
              <w:rPr>
                <w:rFonts w:asciiTheme="minorHAnsi" w:hAnsiTheme="minorHAnsi" w:cstheme="minorHAnsi"/>
              </w:rPr>
              <w:t xml:space="preserve">.  </w:t>
            </w:r>
            <w:bookmarkStart w:id="0" w:name="_GoBack"/>
            <w:bookmarkEnd w:id="0"/>
          </w:p>
          <w:p w:rsidR="00E5668F" w:rsidRDefault="00E5668F" w:rsidP="00EE7704">
            <w:pPr>
              <w:rPr>
                <w:rFonts w:asciiTheme="minorHAnsi" w:hAnsiTheme="minorHAnsi" w:cstheme="minorHAnsi"/>
              </w:rPr>
            </w:pPr>
          </w:p>
          <w:p w:rsidR="00A506B4" w:rsidRDefault="00AE3D33" w:rsidP="00EE7704">
            <w:pPr>
              <w:rPr>
                <w:rFonts w:asciiTheme="minorHAnsi" w:hAnsiTheme="minorHAnsi" w:cstheme="minorHAnsi"/>
              </w:rPr>
            </w:pPr>
            <w:r>
              <w:rPr>
                <w:rFonts w:asciiTheme="minorHAnsi" w:hAnsiTheme="minorHAnsi" w:cstheme="minorHAnsi"/>
              </w:rPr>
              <w:t>If the Contractor disagrees with the results of the surve</w:t>
            </w:r>
            <w:r w:rsidR="00DE4CB9">
              <w:rPr>
                <w:rFonts w:asciiTheme="minorHAnsi" w:hAnsiTheme="minorHAnsi" w:cstheme="minorHAnsi"/>
              </w:rPr>
              <w:t xml:space="preserve">y, refer to Action Item No. </w:t>
            </w:r>
            <w:r w:rsidR="00E5668F">
              <w:rPr>
                <w:rFonts w:asciiTheme="minorHAnsi" w:hAnsiTheme="minorHAnsi" w:cstheme="minorHAnsi"/>
              </w:rPr>
              <w:t>6</w:t>
            </w:r>
            <w:r w:rsidR="00B079C6">
              <w:rPr>
                <w:rFonts w:asciiTheme="minorHAnsi" w:hAnsiTheme="minorHAnsi" w:cstheme="minorHAnsi"/>
              </w:rPr>
              <w:t>.</w:t>
            </w:r>
            <w:r w:rsidR="005C2235">
              <w:rPr>
                <w:rFonts w:asciiTheme="minorHAnsi" w:hAnsiTheme="minorHAnsi" w:cstheme="minorHAnsi"/>
              </w:rPr>
              <w:t xml:space="preserve">  All Contractor comments shall be written by Contractor on the Survey in the space designated “Contractor Comments”.</w:t>
            </w:r>
          </w:p>
          <w:p w:rsidR="005C2235" w:rsidRDefault="005C2235" w:rsidP="00EE7704">
            <w:pPr>
              <w:rPr>
                <w:rFonts w:asciiTheme="minorHAnsi" w:hAnsiTheme="minorHAnsi" w:cstheme="minorHAnsi"/>
              </w:rPr>
            </w:pPr>
          </w:p>
          <w:p w:rsidR="005C2235" w:rsidRDefault="005C2235" w:rsidP="00EE7704">
            <w:pPr>
              <w:rPr>
                <w:rFonts w:asciiTheme="minorHAnsi" w:hAnsiTheme="minorHAnsi" w:cstheme="minorHAnsi"/>
              </w:rPr>
            </w:pPr>
            <w:r>
              <w:rPr>
                <w:rFonts w:asciiTheme="minorHAnsi" w:hAnsiTheme="minorHAnsi" w:cstheme="minorHAnsi"/>
              </w:rPr>
              <w:t>Project Manager or Owners Representative shall forward all correspondence generated by the Survey from the Contractor to the Procurement Manager.</w:t>
            </w:r>
          </w:p>
          <w:p w:rsidR="00B079C6" w:rsidRPr="004D3AFC" w:rsidRDefault="00B079C6" w:rsidP="00EE7704">
            <w:pPr>
              <w:rPr>
                <w:rFonts w:asciiTheme="minorHAnsi" w:hAnsiTheme="minorHAnsi" w:cstheme="minorHAnsi"/>
              </w:rPr>
            </w:pPr>
          </w:p>
        </w:tc>
      </w:tr>
      <w:tr w:rsidR="00C45465" w:rsidRPr="006E6F00" w:rsidTr="00EE7704">
        <w:trPr>
          <w:trHeight w:val="618"/>
        </w:trPr>
        <w:tc>
          <w:tcPr>
            <w:tcW w:w="1428" w:type="dxa"/>
            <w:shd w:val="clear" w:color="auto" w:fill="auto"/>
          </w:tcPr>
          <w:p w:rsidR="00C45465" w:rsidRPr="006E6F00" w:rsidRDefault="00C45465" w:rsidP="00C45465">
            <w:pPr>
              <w:rPr>
                <w:rFonts w:asciiTheme="minorHAnsi" w:eastAsia="Calibri" w:hAnsiTheme="minorHAnsi" w:cstheme="minorHAnsi"/>
              </w:rPr>
            </w:pPr>
            <w:r>
              <w:rPr>
                <w:rFonts w:asciiTheme="minorHAnsi" w:eastAsia="Calibri" w:hAnsiTheme="minorHAnsi" w:cstheme="minorHAnsi"/>
              </w:rPr>
              <w:t>Once</w:t>
            </w:r>
          </w:p>
        </w:tc>
        <w:tc>
          <w:tcPr>
            <w:tcW w:w="500" w:type="dxa"/>
            <w:shd w:val="clear" w:color="auto" w:fill="auto"/>
          </w:tcPr>
          <w:p w:rsidR="00C45465" w:rsidRPr="006E6F00" w:rsidRDefault="00E5668F" w:rsidP="00C45465">
            <w:pPr>
              <w:jc w:val="center"/>
              <w:rPr>
                <w:rFonts w:asciiTheme="minorHAnsi" w:eastAsia="Calibri" w:hAnsiTheme="minorHAnsi" w:cstheme="minorHAnsi"/>
              </w:rPr>
            </w:pPr>
            <w:r>
              <w:rPr>
                <w:rFonts w:asciiTheme="minorHAnsi" w:eastAsia="Calibri" w:hAnsiTheme="minorHAnsi" w:cstheme="minorHAnsi"/>
              </w:rPr>
              <w:t>3</w:t>
            </w:r>
          </w:p>
        </w:tc>
        <w:tc>
          <w:tcPr>
            <w:tcW w:w="2387" w:type="dxa"/>
            <w:shd w:val="clear" w:color="auto" w:fill="auto"/>
          </w:tcPr>
          <w:p w:rsidR="00C45465" w:rsidRPr="006E6F00" w:rsidRDefault="00C45465" w:rsidP="00C45465">
            <w:pPr>
              <w:rPr>
                <w:rFonts w:asciiTheme="minorHAnsi" w:eastAsia="Calibri" w:hAnsiTheme="minorHAnsi" w:cstheme="minorHAnsi"/>
              </w:rPr>
            </w:pPr>
            <w:r>
              <w:rPr>
                <w:rFonts w:asciiTheme="minorHAnsi" w:eastAsia="Calibri" w:hAnsiTheme="minorHAnsi" w:cstheme="minorHAnsi"/>
              </w:rPr>
              <w:t>Procurement Manager</w:t>
            </w:r>
          </w:p>
        </w:tc>
        <w:tc>
          <w:tcPr>
            <w:tcW w:w="6503" w:type="dxa"/>
            <w:shd w:val="clear" w:color="auto" w:fill="auto"/>
          </w:tcPr>
          <w:p w:rsidR="00DE4CB9" w:rsidRDefault="00DE4CB9" w:rsidP="00C45465">
            <w:pPr>
              <w:rPr>
                <w:rFonts w:asciiTheme="minorHAnsi" w:eastAsia="Calibri" w:hAnsiTheme="minorHAnsi" w:cstheme="minorHAnsi"/>
              </w:rPr>
            </w:pPr>
            <w:r>
              <w:rPr>
                <w:rFonts w:asciiTheme="minorHAnsi" w:eastAsia="Calibri" w:hAnsiTheme="minorHAnsi" w:cstheme="minorHAnsi"/>
              </w:rPr>
              <w:t>If surveys are not being completed, send reminder emails to the Project Manager or Owner’s Representative.</w:t>
            </w:r>
          </w:p>
          <w:p w:rsidR="00DE4CB9" w:rsidRDefault="00DE4CB9" w:rsidP="00C45465">
            <w:pPr>
              <w:rPr>
                <w:rFonts w:asciiTheme="minorHAnsi" w:eastAsia="Calibri" w:hAnsiTheme="minorHAnsi" w:cstheme="minorHAnsi"/>
              </w:rPr>
            </w:pPr>
          </w:p>
          <w:p w:rsidR="00DE4CB9" w:rsidRDefault="00DE4CB9" w:rsidP="00C45465">
            <w:pPr>
              <w:rPr>
                <w:rFonts w:asciiTheme="minorHAnsi" w:eastAsia="Calibri" w:hAnsiTheme="minorHAnsi" w:cstheme="minorHAnsi"/>
              </w:rPr>
            </w:pPr>
            <w:r>
              <w:rPr>
                <w:rFonts w:asciiTheme="minorHAnsi" w:eastAsia="Calibri" w:hAnsiTheme="minorHAnsi" w:cstheme="minorHAnsi"/>
              </w:rPr>
              <w:t>When completed:</w:t>
            </w:r>
          </w:p>
          <w:p w:rsidR="00DE4CB9" w:rsidRDefault="00DE4CB9" w:rsidP="00C45465">
            <w:pPr>
              <w:rPr>
                <w:rFonts w:asciiTheme="minorHAnsi" w:eastAsia="Calibri" w:hAnsiTheme="minorHAnsi" w:cstheme="minorHAnsi"/>
              </w:rPr>
            </w:pPr>
          </w:p>
          <w:p w:rsidR="00C45465" w:rsidRDefault="00C45465" w:rsidP="00C45465">
            <w:pPr>
              <w:rPr>
                <w:rFonts w:asciiTheme="minorHAnsi" w:eastAsia="Calibri" w:hAnsiTheme="minorHAnsi" w:cstheme="minorHAnsi"/>
              </w:rPr>
            </w:pPr>
            <w:r>
              <w:rPr>
                <w:rFonts w:asciiTheme="minorHAnsi" w:eastAsia="Calibri" w:hAnsiTheme="minorHAnsi" w:cstheme="minorHAnsi"/>
              </w:rPr>
              <w:t>Download the survey</w:t>
            </w:r>
            <w:r w:rsidR="004D3AFC">
              <w:rPr>
                <w:rFonts w:asciiTheme="minorHAnsi" w:eastAsia="Calibri" w:hAnsiTheme="minorHAnsi" w:cstheme="minorHAnsi"/>
              </w:rPr>
              <w:t xml:space="preserve"> from the Outlook email folder</w:t>
            </w:r>
            <w:r>
              <w:rPr>
                <w:rFonts w:asciiTheme="minorHAnsi" w:eastAsia="Calibri" w:hAnsiTheme="minorHAnsi" w:cstheme="minorHAnsi"/>
              </w:rPr>
              <w:t xml:space="preserve"> and review the results:</w:t>
            </w:r>
          </w:p>
          <w:p w:rsidR="004D3AFC" w:rsidRDefault="004D3AFC" w:rsidP="00C45465">
            <w:pPr>
              <w:rPr>
                <w:rFonts w:asciiTheme="minorHAnsi" w:eastAsia="Calibri" w:hAnsiTheme="minorHAnsi" w:cstheme="minorHAnsi"/>
              </w:rPr>
            </w:pPr>
          </w:p>
          <w:p w:rsidR="00C45465" w:rsidRDefault="00C45465" w:rsidP="00C45465">
            <w:pPr>
              <w:pStyle w:val="ListParagraph"/>
              <w:numPr>
                <w:ilvl w:val="0"/>
                <w:numId w:val="19"/>
              </w:numPr>
              <w:rPr>
                <w:rFonts w:asciiTheme="minorHAnsi" w:eastAsia="Calibri" w:hAnsiTheme="minorHAnsi" w:cstheme="minorHAnsi"/>
              </w:rPr>
            </w:pPr>
            <w:r>
              <w:rPr>
                <w:rFonts w:asciiTheme="minorHAnsi" w:eastAsia="Calibri" w:hAnsiTheme="minorHAnsi" w:cstheme="minorHAnsi"/>
              </w:rPr>
              <w:t xml:space="preserve">If results are “E”, “M”, “B” </w:t>
            </w:r>
            <w:r w:rsidRPr="00A576E8">
              <w:rPr>
                <w:rFonts w:asciiTheme="minorHAnsi" w:eastAsia="Calibri" w:hAnsiTheme="minorHAnsi" w:cstheme="minorHAnsi"/>
                <w:u w:val="single"/>
              </w:rPr>
              <w:t>and</w:t>
            </w:r>
            <w:r w:rsidR="00A576E8">
              <w:rPr>
                <w:rFonts w:asciiTheme="minorHAnsi" w:eastAsia="Calibri" w:hAnsiTheme="minorHAnsi" w:cstheme="minorHAnsi"/>
              </w:rPr>
              <w:t xml:space="preserve"> a 77</w:t>
            </w:r>
            <w:r>
              <w:rPr>
                <w:rFonts w:asciiTheme="minorHAnsi" w:eastAsia="Calibri" w:hAnsiTheme="minorHAnsi" w:cstheme="minorHAnsi"/>
              </w:rPr>
              <w:t xml:space="preserve">% score and above, log score for Contractor onto the </w:t>
            </w:r>
            <w:r w:rsidR="00E5668F">
              <w:rPr>
                <w:rFonts w:asciiTheme="minorHAnsi" w:eastAsia="Calibri" w:hAnsiTheme="minorHAnsi" w:cstheme="minorHAnsi"/>
              </w:rPr>
              <w:t>S</w:t>
            </w:r>
            <w:r>
              <w:rPr>
                <w:rFonts w:asciiTheme="minorHAnsi" w:eastAsia="Calibri" w:hAnsiTheme="minorHAnsi" w:cstheme="minorHAnsi"/>
              </w:rPr>
              <w:t xml:space="preserve">coring </w:t>
            </w:r>
            <w:r w:rsidR="00E5668F">
              <w:rPr>
                <w:rFonts w:asciiTheme="minorHAnsi" w:eastAsia="Calibri" w:hAnsiTheme="minorHAnsi" w:cstheme="minorHAnsi"/>
              </w:rPr>
              <w:t>S</w:t>
            </w:r>
            <w:r>
              <w:rPr>
                <w:rFonts w:asciiTheme="minorHAnsi" w:eastAsia="Calibri" w:hAnsiTheme="minorHAnsi" w:cstheme="minorHAnsi"/>
              </w:rPr>
              <w:t xml:space="preserve">preadsheet and file the </w:t>
            </w:r>
            <w:r w:rsidR="00E5668F">
              <w:rPr>
                <w:rFonts w:asciiTheme="minorHAnsi" w:eastAsia="Calibri" w:hAnsiTheme="minorHAnsi" w:cstheme="minorHAnsi"/>
              </w:rPr>
              <w:t>S</w:t>
            </w:r>
            <w:r>
              <w:rPr>
                <w:rFonts w:asciiTheme="minorHAnsi" w:eastAsia="Calibri" w:hAnsiTheme="minorHAnsi" w:cstheme="minorHAnsi"/>
              </w:rPr>
              <w:t>urvey.</w:t>
            </w:r>
          </w:p>
          <w:p w:rsidR="00CC0859" w:rsidRDefault="00CC0859" w:rsidP="00CC0859">
            <w:pPr>
              <w:pStyle w:val="ListParagraph"/>
              <w:rPr>
                <w:rFonts w:asciiTheme="minorHAnsi" w:eastAsia="Calibri" w:hAnsiTheme="minorHAnsi" w:cstheme="minorHAnsi"/>
              </w:rPr>
            </w:pPr>
          </w:p>
          <w:p w:rsidR="00C45465" w:rsidRDefault="00C45465" w:rsidP="00C45465">
            <w:pPr>
              <w:pStyle w:val="ListParagraph"/>
              <w:numPr>
                <w:ilvl w:val="0"/>
                <w:numId w:val="19"/>
              </w:numPr>
              <w:rPr>
                <w:rFonts w:asciiTheme="minorHAnsi" w:eastAsia="Calibri" w:hAnsiTheme="minorHAnsi" w:cstheme="minorHAnsi"/>
              </w:rPr>
            </w:pPr>
            <w:r>
              <w:rPr>
                <w:rFonts w:asciiTheme="minorHAnsi" w:eastAsia="Calibri" w:hAnsiTheme="minorHAnsi" w:cstheme="minorHAnsi"/>
              </w:rPr>
              <w:t>If results have any “U” scores, but are 7</w:t>
            </w:r>
            <w:r w:rsidR="00E5668F">
              <w:rPr>
                <w:rFonts w:asciiTheme="minorHAnsi" w:eastAsia="Calibri" w:hAnsiTheme="minorHAnsi" w:cstheme="minorHAnsi"/>
              </w:rPr>
              <w:t>7</w:t>
            </w:r>
            <w:r>
              <w:rPr>
                <w:rFonts w:asciiTheme="minorHAnsi" w:eastAsia="Calibri" w:hAnsiTheme="minorHAnsi" w:cstheme="minorHAnsi"/>
              </w:rPr>
              <w:t xml:space="preserve">% and above, the Procurement Manager will log the score, but also require the Contractor to addresses each “U” in writing.  Contractor must satisfactorily provide </w:t>
            </w:r>
            <w:r w:rsidR="00E5668F">
              <w:rPr>
                <w:rFonts w:asciiTheme="minorHAnsi" w:eastAsia="Calibri" w:hAnsiTheme="minorHAnsi" w:cstheme="minorHAnsi"/>
              </w:rPr>
              <w:t xml:space="preserve">a cure to the </w:t>
            </w:r>
            <w:r>
              <w:rPr>
                <w:rFonts w:asciiTheme="minorHAnsi" w:eastAsia="Calibri" w:hAnsiTheme="minorHAnsi" w:cstheme="minorHAnsi"/>
              </w:rPr>
              <w:t xml:space="preserve">“U” score(s) on future projects.  Procurement Manager copies the Project Manager or Owner’s </w:t>
            </w:r>
            <w:r>
              <w:rPr>
                <w:rFonts w:asciiTheme="minorHAnsi" w:eastAsia="Calibri" w:hAnsiTheme="minorHAnsi" w:cstheme="minorHAnsi"/>
              </w:rPr>
              <w:lastRenderedPageBreak/>
              <w:t>Representative with the responses, and if satisfactory, files the response.  If unsatisfactory, Procurement Manager schedules a meeting with the Contractor and Project Manager or Owner’s Representative.</w:t>
            </w:r>
            <w:r w:rsidR="00B079C6">
              <w:rPr>
                <w:rFonts w:asciiTheme="minorHAnsi" w:eastAsia="Calibri" w:hAnsiTheme="minorHAnsi" w:cstheme="minorHAnsi"/>
              </w:rPr>
              <w:t xml:space="preserve">  Refer to Action Item #</w:t>
            </w:r>
            <w:r w:rsidR="00E5668F">
              <w:rPr>
                <w:rFonts w:asciiTheme="minorHAnsi" w:eastAsia="Calibri" w:hAnsiTheme="minorHAnsi" w:cstheme="minorHAnsi"/>
              </w:rPr>
              <w:t>7</w:t>
            </w:r>
            <w:r>
              <w:rPr>
                <w:rFonts w:asciiTheme="minorHAnsi" w:eastAsia="Calibri" w:hAnsiTheme="minorHAnsi" w:cstheme="minorHAnsi"/>
              </w:rPr>
              <w:t xml:space="preserve"> if outcome of the meeting is unsatisfactory</w:t>
            </w:r>
            <w:r w:rsidR="005C2235">
              <w:rPr>
                <w:rFonts w:asciiTheme="minorHAnsi" w:eastAsia="Calibri" w:hAnsiTheme="minorHAnsi" w:cstheme="minorHAnsi"/>
              </w:rPr>
              <w:t xml:space="preserve"> to the Contractor</w:t>
            </w:r>
            <w:r>
              <w:rPr>
                <w:rFonts w:asciiTheme="minorHAnsi" w:eastAsia="Calibri" w:hAnsiTheme="minorHAnsi" w:cstheme="minorHAnsi"/>
              </w:rPr>
              <w:t>.</w:t>
            </w:r>
          </w:p>
          <w:p w:rsidR="00CC0859" w:rsidRPr="00CC0859" w:rsidRDefault="00CC0859" w:rsidP="00CC0859">
            <w:pPr>
              <w:rPr>
                <w:rFonts w:asciiTheme="minorHAnsi" w:eastAsia="Calibri" w:hAnsiTheme="minorHAnsi" w:cstheme="minorHAnsi"/>
              </w:rPr>
            </w:pPr>
          </w:p>
          <w:p w:rsidR="00C45465" w:rsidRDefault="00C45465" w:rsidP="00C45465">
            <w:pPr>
              <w:pStyle w:val="ListParagraph"/>
              <w:numPr>
                <w:ilvl w:val="0"/>
                <w:numId w:val="19"/>
              </w:numPr>
              <w:rPr>
                <w:rFonts w:asciiTheme="minorHAnsi" w:eastAsia="Calibri" w:hAnsiTheme="minorHAnsi" w:cstheme="minorHAnsi"/>
              </w:rPr>
            </w:pPr>
            <w:r>
              <w:rPr>
                <w:rFonts w:asciiTheme="minorHAnsi" w:eastAsia="Calibri" w:hAnsiTheme="minorHAnsi" w:cstheme="minorHAnsi"/>
              </w:rPr>
              <w:t xml:space="preserve">If the score is </w:t>
            </w:r>
            <w:r w:rsidR="00E5668F">
              <w:rPr>
                <w:rFonts w:asciiTheme="minorHAnsi" w:eastAsia="Calibri" w:hAnsiTheme="minorHAnsi" w:cstheme="minorHAnsi"/>
              </w:rPr>
              <w:t>7</w:t>
            </w:r>
            <w:r>
              <w:rPr>
                <w:rFonts w:asciiTheme="minorHAnsi" w:eastAsia="Calibri" w:hAnsiTheme="minorHAnsi" w:cstheme="minorHAnsi"/>
              </w:rPr>
              <w:t>6%</w:t>
            </w:r>
            <w:r w:rsidR="00E5668F">
              <w:rPr>
                <w:rFonts w:asciiTheme="minorHAnsi" w:eastAsia="Calibri" w:hAnsiTheme="minorHAnsi" w:cstheme="minorHAnsi"/>
              </w:rPr>
              <w:t xml:space="preserve"> or less</w:t>
            </w:r>
            <w:r>
              <w:rPr>
                <w:rFonts w:asciiTheme="minorHAnsi" w:eastAsia="Calibri" w:hAnsiTheme="minorHAnsi" w:cstheme="minorHAnsi"/>
              </w:rPr>
              <w:t xml:space="preserve">, the Procurement Manager will log the score, and will schedule a meeting with the Contractor and Project Manager or Owner’s Representative.  Contractor shall provide written remedial plan to the satisfaction of the state that provides for corrective action of issues that caused score to be under 76%.  </w:t>
            </w:r>
            <w:r w:rsidR="00DE4CB9">
              <w:rPr>
                <w:rFonts w:asciiTheme="minorHAnsi" w:eastAsia="Calibri" w:hAnsiTheme="minorHAnsi" w:cstheme="minorHAnsi"/>
              </w:rPr>
              <w:t>Refer to Action Item #</w:t>
            </w:r>
            <w:r w:rsidR="00E5668F">
              <w:rPr>
                <w:rFonts w:asciiTheme="minorHAnsi" w:eastAsia="Calibri" w:hAnsiTheme="minorHAnsi" w:cstheme="minorHAnsi"/>
              </w:rPr>
              <w:t>7</w:t>
            </w:r>
            <w:r>
              <w:rPr>
                <w:rFonts w:asciiTheme="minorHAnsi" w:eastAsia="Calibri" w:hAnsiTheme="minorHAnsi" w:cstheme="minorHAnsi"/>
              </w:rPr>
              <w:t xml:space="preserve"> if outcome of the meeting is unsatisfactory</w:t>
            </w:r>
            <w:r w:rsidR="005C2235">
              <w:rPr>
                <w:rFonts w:asciiTheme="minorHAnsi" w:eastAsia="Calibri" w:hAnsiTheme="minorHAnsi" w:cstheme="minorHAnsi"/>
              </w:rPr>
              <w:t xml:space="preserve"> to the Contractor</w:t>
            </w:r>
            <w:r>
              <w:rPr>
                <w:rFonts w:asciiTheme="minorHAnsi" w:eastAsia="Calibri" w:hAnsiTheme="minorHAnsi" w:cstheme="minorHAnsi"/>
              </w:rPr>
              <w:t>.</w:t>
            </w:r>
          </w:p>
          <w:p w:rsidR="00CC0859" w:rsidRPr="005632CE" w:rsidRDefault="00CC0859" w:rsidP="005632CE">
            <w:pPr>
              <w:rPr>
                <w:rFonts w:asciiTheme="minorHAnsi" w:eastAsia="Calibri" w:hAnsiTheme="minorHAnsi" w:cstheme="minorHAnsi"/>
              </w:rPr>
            </w:pPr>
          </w:p>
          <w:p w:rsidR="00C45465" w:rsidRDefault="00C45465" w:rsidP="00CC0859">
            <w:pPr>
              <w:pStyle w:val="ListParagraph"/>
              <w:numPr>
                <w:ilvl w:val="0"/>
                <w:numId w:val="19"/>
              </w:numPr>
              <w:rPr>
                <w:rFonts w:asciiTheme="minorHAnsi" w:eastAsia="Calibri" w:hAnsiTheme="minorHAnsi" w:cstheme="minorHAnsi"/>
              </w:rPr>
            </w:pPr>
            <w:r>
              <w:rPr>
                <w:rFonts w:asciiTheme="minorHAnsi" w:eastAsia="Calibri" w:hAnsiTheme="minorHAnsi" w:cstheme="minorHAnsi"/>
              </w:rPr>
              <w:t>Procurement Manager will keep records of meetings with Contractors and Project Managers or Owner’s Representatives and place them in the file.</w:t>
            </w:r>
          </w:p>
          <w:p w:rsidR="00CC0859" w:rsidRPr="00146417" w:rsidRDefault="00CC0859" w:rsidP="00CC0859">
            <w:pPr>
              <w:pStyle w:val="ListParagraph"/>
              <w:rPr>
                <w:rFonts w:asciiTheme="minorHAnsi" w:eastAsia="Calibri" w:hAnsiTheme="minorHAnsi" w:cstheme="minorHAnsi"/>
              </w:rPr>
            </w:pPr>
          </w:p>
        </w:tc>
      </w:tr>
      <w:tr w:rsidR="00C45465" w:rsidRPr="006E6F00" w:rsidTr="00EE7704">
        <w:trPr>
          <w:trHeight w:val="576"/>
        </w:trPr>
        <w:tc>
          <w:tcPr>
            <w:tcW w:w="1428" w:type="dxa"/>
            <w:shd w:val="clear" w:color="auto" w:fill="auto"/>
          </w:tcPr>
          <w:p w:rsidR="00C45465" w:rsidRPr="006E6F00" w:rsidRDefault="00A506B4" w:rsidP="00C45465">
            <w:pPr>
              <w:rPr>
                <w:rFonts w:asciiTheme="minorHAnsi" w:eastAsia="Calibri" w:hAnsiTheme="minorHAnsi" w:cstheme="minorHAnsi"/>
              </w:rPr>
            </w:pPr>
            <w:r>
              <w:rPr>
                <w:rFonts w:asciiTheme="minorHAnsi" w:eastAsia="Calibri" w:hAnsiTheme="minorHAnsi" w:cstheme="minorHAnsi"/>
              </w:rPr>
              <w:lastRenderedPageBreak/>
              <w:t>Re-Occurring</w:t>
            </w:r>
          </w:p>
        </w:tc>
        <w:tc>
          <w:tcPr>
            <w:tcW w:w="500" w:type="dxa"/>
            <w:shd w:val="clear" w:color="auto" w:fill="auto"/>
          </w:tcPr>
          <w:p w:rsidR="00C45465" w:rsidRDefault="00E5668F" w:rsidP="00C45465">
            <w:pPr>
              <w:jc w:val="center"/>
              <w:rPr>
                <w:rFonts w:asciiTheme="minorHAnsi" w:eastAsia="Calibri" w:hAnsiTheme="minorHAnsi" w:cstheme="minorHAnsi"/>
              </w:rPr>
            </w:pPr>
            <w:r>
              <w:rPr>
                <w:rFonts w:asciiTheme="minorHAnsi" w:eastAsia="Calibri" w:hAnsiTheme="minorHAnsi" w:cstheme="minorHAnsi"/>
              </w:rPr>
              <w:t>4</w:t>
            </w:r>
          </w:p>
        </w:tc>
        <w:tc>
          <w:tcPr>
            <w:tcW w:w="2387" w:type="dxa"/>
            <w:shd w:val="clear" w:color="auto" w:fill="auto"/>
          </w:tcPr>
          <w:p w:rsidR="00C45465" w:rsidRDefault="00EC50DD" w:rsidP="00C45465">
            <w:pPr>
              <w:rPr>
                <w:rFonts w:asciiTheme="minorHAnsi" w:eastAsia="Calibri" w:hAnsiTheme="minorHAnsi" w:cstheme="minorHAnsi"/>
              </w:rPr>
            </w:pPr>
            <w:r>
              <w:rPr>
                <w:rFonts w:asciiTheme="minorHAnsi" w:eastAsia="Calibri" w:hAnsiTheme="minorHAnsi" w:cstheme="minorHAnsi"/>
              </w:rPr>
              <w:t>Procurement Manager</w:t>
            </w:r>
          </w:p>
        </w:tc>
        <w:tc>
          <w:tcPr>
            <w:tcW w:w="6503" w:type="dxa"/>
            <w:shd w:val="clear" w:color="auto" w:fill="auto"/>
          </w:tcPr>
          <w:p w:rsidR="00C45465" w:rsidRDefault="00EC50DD" w:rsidP="00C45465">
            <w:pPr>
              <w:rPr>
                <w:rFonts w:asciiTheme="minorHAnsi" w:eastAsia="Calibri" w:hAnsiTheme="minorHAnsi" w:cstheme="minorHAnsi"/>
              </w:rPr>
            </w:pPr>
            <w:r>
              <w:rPr>
                <w:rFonts w:asciiTheme="minorHAnsi" w:eastAsia="Calibri" w:hAnsiTheme="minorHAnsi" w:cstheme="minorHAnsi"/>
              </w:rPr>
              <w:t>Ensure</w:t>
            </w:r>
            <w:r w:rsidR="00B079C6">
              <w:rPr>
                <w:rFonts w:asciiTheme="minorHAnsi" w:eastAsia="Calibri" w:hAnsiTheme="minorHAnsi" w:cstheme="minorHAnsi"/>
              </w:rPr>
              <w:t xml:space="preserve"> useable</w:t>
            </w:r>
            <w:r>
              <w:rPr>
                <w:rFonts w:asciiTheme="minorHAnsi" w:eastAsia="Calibri" w:hAnsiTheme="minorHAnsi" w:cstheme="minorHAnsi"/>
              </w:rPr>
              <w:t xml:space="preserve"> link to </w:t>
            </w:r>
            <w:r w:rsidR="00E5668F">
              <w:rPr>
                <w:rFonts w:asciiTheme="minorHAnsi" w:eastAsia="Calibri" w:hAnsiTheme="minorHAnsi" w:cstheme="minorHAnsi"/>
              </w:rPr>
              <w:t>S</w:t>
            </w:r>
            <w:r>
              <w:rPr>
                <w:rFonts w:asciiTheme="minorHAnsi" w:eastAsia="Calibri" w:hAnsiTheme="minorHAnsi" w:cstheme="minorHAnsi"/>
              </w:rPr>
              <w:t xml:space="preserve">coring </w:t>
            </w:r>
            <w:r w:rsidR="00E5668F">
              <w:rPr>
                <w:rFonts w:asciiTheme="minorHAnsi" w:eastAsia="Calibri" w:hAnsiTheme="minorHAnsi" w:cstheme="minorHAnsi"/>
              </w:rPr>
              <w:t>S</w:t>
            </w:r>
            <w:r>
              <w:rPr>
                <w:rFonts w:asciiTheme="minorHAnsi" w:eastAsia="Calibri" w:hAnsiTheme="minorHAnsi" w:cstheme="minorHAnsi"/>
              </w:rPr>
              <w:t xml:space="preserve">preadsheet is </w:t>
            </w:r>
            <w:r w:rsidR="00AE3D33">
              <w:rPr>
                <w:rFonts w:asciiTheme="minorHAnsi" w:eastAsia="Calibri" w:hAnsiTheme="minorHAnsi" w:cstheme="minorHAnsi"/>
              </w:rPr>
              <w:t>current on SPO and GSD websites.</w:t>
            </w:r>
          </w:p>
          <w:p w:rsidR="0066096A" w:rsidRDefault="0066096A" w:rsidP="00C45465">
            <w:pPr>
              <w:rPr>
                <w:rFonts w:asciiTheme="minorHAnsi" w:eastAsia="Calibri" w:hAnsiTheme="minorHAnsi" w:cstheme="minorHAnsi"/>
              </w:rPr>
            </w:pPr>
          </w:p>
        </w:tc>
      </w:tr>
      <w:tr w:rsidR="00C45465" w:rsidRPr="006E6F00" w:rsidTr="00EE7704">
        <w:trPr>
          <w:trHeight w:val="576"/>
        </w:trPr>
        <w:tc>
          <w:tcPr>
            <w:tcW w:w="1428" w:type="dxa"/>
            <w:shd w:val="clear" w:color="auto" w:fill="auto"/>
          </w:tcPr>
          <w:p w:rsidR="00C45465" w:rsidRPr="006E6F00" w:rsidRDefault="00A506B4" w:rsidP="00C45465">
            <w:pPr>
              <w:rPr>
                <w:rFonts w:asciiTheme="minorHAnsi" w:eastAsia="Calibri" w:hAnsiTheme="minorHAnsi" w:cstheme="minorHAnsi"/>
              </w:rPr>
            </w:pPr>
            <w:r>
              <w:rPr>
                <w:rFonts w:asciiTheme="minorHAnsi" w:eastAsia="Calibri" w:hAnsiTheme="minorHAnsi" w:cstheme="minorHAnsi"/>
              </w:rPr>
              <w:t>Re-Occurring</w:t>
            </w:r>
          </w:p>
        </w:tc>
        <w:tc>
          <w:tcPr>
            <w:tcW w:w="500" w:type="dxa"/>
            <w:shd w:val="clear" w:color="auto" w:fill="auto"/>
          </w:tcPr>
          <w:p w:rsidR="00C45465" w:rsidRPr="006E6F00" w:rsidRDefault="00E5668F" w:rsidP="00C45465">
            <w:pPr>
              <w:jc w:val="center"/>
              <w:rPr>
                <w:rFonts w:asciiTheme="minorHAnsi" w:eastAsia="Calibri" w:hAnsiTheme="minorHAnsi" w:cstheme="minorHAnsi"/>
              </w:rPr>
            </w:pPr>
            <w:r>
              <w:rPr>
                <w:rFonts w:asciiTheme="minorHAnsi" w:eastAsia="Calibri" w:hAnsiTheme="minorHAnsi" w:cstheme="minorHAnsi"/>
              </w:rPr>
              <w:t>5</w:t>
            </w:r>
          </w:p>
        </w:tc>
        <w:tc>
          <w:tcPr>
            <w:tcW w:w="2387" w:type="dxa"/>
            <w:shd w:val="clear" w:color="auto" w:fill="auto"/>
          </w:tcPr>
          <w:p w:rsidR="00C45465" w:rsidRPr="006E6F00" w:rsidRDefault="00C45465" w:rsidP="00C45465">
            <w:pPr>
              <w:rPr>
                <w:rFonts w:asciiTheme="minorHAnsi" w:eastAsia="Calibri" w:hAnsiTheme="minorHAnsi" w:cstheme="minorHAnsi"/>
              </w:rPr>
            </w:pPr>
            <w:r>
              <w:rPr>
                <w:rFonts w:asciiTheme="minorHAnsi" w:eastAsia="Calibri" w:hAnsiTheme="minorHAnsi" w:cstheme="minorHAnsi"/>
              </w:rPr>
              <w:t>Procurement Manager</w:t>
            </w:r>
            <w:r w:rsidR="00AE3D33">
              <w:rPr>
                <w:rFonts w:asciiTheme="minorHAnsi" w:eastAsia="Calibri" w:hAnsiTheme="minorHAnsi" w:cstheme="minorHAnsi"/>
              </w:rPr>
              <w:t xml:space="preserve"> </w:t>
            </w:r>
          </w:p>
        </w:tc>
        <w:tc>
          <w:tcPr>
            <w:tcW w:w="6503" w:type="dxa"/>
            <w:shd w:val="clear" w:color="auto" w:fill="auto"/>
          </w:tcPr>
          <w:p w:rsidR="00C45465" w:rsidRDefault="00AE3D33" w:rsidP="00C45465">
            <w:pPr>
              <w:rPr>
                <w:rFonts w:asciiTheme="minorHAnsi" w:eastAsia="Calibri" w:hAnsiTheme="minorHAnsi" w:cstheme="minorHAnsi"/>
              </w:rPr>
            </w:pPr>
            <w:r>
              <w:rPr>
                <w:rFonts w:asciiTheme="minorHAnsi" w:eastAsia="Calibri" w:hAnsiTheme="minorHAnsi" w:cstheme="minorHAnsi"/>
              </w:rPr>
              <w:t>Maintain scores for one year for each contractor</w:t>
            </w:r>
            <w:r w:rsidR="00E5668F">
              <w:rPr>
                <w:rFonts w:asciiTheme="minorHAnsi" w:eastAsia="Calibri" w:hAnsiTheme="minorHAnsi" w:cstheme="minorHAnsi"/>
              </w:rPr>
              <w:t xml:space="preserve">.  Remove scores older than one year from the </w:t>
            </w:r>
            <w:r w:rsidR="005C2235">
              <w:rPr>
                <w:rFonts w:asciiTheme="minorHAnsi" w:eastAsia="Calibri" w:hAnsiTheme="minorHAnsi" w:cstheme="minorHAnsi"/>
              </w:rPr>
              <w:t>S</w:t>
            </w:r>
            <w:r w:rsidR="00E5668F">
              <w:rPr>
                <w:rFonts w:asciiTheme="minorHAnsi" w:eastAsia="Calibri" w:hAnsiTheme="minorHAnsi" w:cstheme="minorHAnsi"/>
              </w:rPr>
              <w:t xml:space="preserve">coring </w:t>
            </w:r>
            <w:r w:rsidR="005C2235">
              <w:rPr>
                <w:rFonts w:asciiTheme="minorHAnsi" w:eastAsia="Calibri" w:hAnsiTheme="minorHAnsi" w:cstheme="minorHAnsi"/>
              </w:rPr>
              <w:t>S</w:t>
            </w:r>
            <w:r w:rsidR="00E5668F">
              <w:rPr>
                <w:rFonts w:asciiTheme="minorHAnsi" w:eastAsia="Calibri" w:hAnsiTheme="minorHAnsi" w:cstheme="minorHAnsi"/>
              </w:rPr>
              <w:t>preadsheet.</w:t>
            </w:r>
          </w:p>
          <w:p w:rsidR="0066096A" w:rsidRPr="006E6F00" w:rsidRDefault="0066096A" w:rsidP="00C45465">
            <w:pPr>
              <w:rPr>
                <w:rFonts w:asciiTheme="minorHAnsi" w:eastAsia="Calibri" w:hAnsiTheme="minorHAnsi" w:cstheme="minorHAnsi"/>
              </w:rPr>
            </w:pPr>
          </w:p>
        </w:tc>
      </w:tr>
      <w:tr w:rsidR="00C45465" w:rsidRPr="006E6F00" w:rsidTr="00EE7704">
        <w:trPr>
          <w:trHeight w:val="576"/>
        </w:trPr>
        <w:tc>
          <w:tcPr>
            <w:tcW w:w="1428" w:type="dxa"/>
            <w:shd w:val="clear" w:color="auto" w:fill="auto"/>
          </w:tcPr>
          <w:p w:rsidR="00C45465" w:rsidRPr="006E6F00" w:rsidRDefault="004D3AFC" w:rsidP="00C45465">
            <w:pPr>
              <w:rPr>
                <w:rFonts w:asciiTheme="minorHAnsi" w:eastAsia="Calibri" w:hAnsiTheme="minorHAnsi" w:cstheme="minorHAnsi"/>
              </w:rPr>
            </w:pPr>
            <w:r>
              <w:rPr>
                <w:rFonts w:asciiTheme="minorHAnsi" w:eastAsia="Calibri" w:hAnsiTheme="minorHAnsi" w:cstheme="minorHAnsi"/>
              </w:rPr>
              <w:t>Re-Occurring</w:t>
            </w:r>
          </w:p>
        </w:tc>
        <w:tc>
          <w:tcPr>
            <w:tcW w:w="500" w:type="dxa"/>
            <w:shd w:val="clear" w:color="auto" w:fill="auto"/>
          </w:tcPr>
          <w:p w:rsidR="00C45465" w:rsidRPr="006E6F00" w:rsidRDefault="00E5668F" w:rsidP="00C45465">
            <w:pPr>
              <w:jc w:val="center"/>
              <w:rPr>
                <w:rFonts w:asciiTheme="minorHAnsi" w:eastAsia="Calibri" w:hAnsiTheme="minorHAnsi" w:cstheme="minorHAnsi"/>
              </w:rPr>
            </w:pPr>
            <w:r>
              <w:rPr>
                <w:rFonts w:asciiTheme="minorHAnsi" w:eastAsia="Calibri" w:hAnsiTheme="minorHAnsi" w:cstheme="minorHAnsi"/>
              </w:rPr>
              <w:t>6</w:t>
            </w:r>
          </w:p>
        </w:tc>
        <w:tc>
          <w:tcPr>
            <w:tcW w:w="2387" w:type="dxa"/>
            <w:shd w:val="clear" w:color="auto" w:fill="auto"/>
          </w:tcPr>
          <w:p w:rsidR="00C45465" w:rsidRPr="006E6F00" w:rsidRDefault="00AE3D33" w:rsidP="00C45465">
            <w:pPr>
              <w:rPr>
                <w:rFonts w:asciiTheme="minorHAnsi" w:eastAsia="Calibri" w:hAnsiTheme="minorHAnsi" w:cstheme="minorHAnsi"/>
              </w:rPr>
            </w:pPr>
            <w:r>
              <w:rPr>
                <w:rFonts w:asciiTheme="minorHAnsi" w:eastAsia="Calibri" w:hAnsiTheme="minorHAnsi" w:cstheme="minorHAnsi"/>
              </w:rPr>
              <w:t>Procurement Manager and the State Procurement Office</w:t>
            </w:r>
          </w:p>
        </w:tc>
        <w:tc>
          <w:tcPr>
            <w:tcW w:w="6503" w:type="dxa"/>
            <w:shd w:val="clear" w:color="auto" w:fill="auto"/>
          </w:tcPr>
          <w:p w:rsidR="004D3AFC" w:rsidRDefault="004D3AFC" w:rsidP="004D3AFC">
            <w:pPr>
              <w:rPr>
                <w:rFonts w:asciiTheme="minorHAnsi" w:hAnsiTheme="minorHAnsi" w:cstheme="minorHAnsi"/>
              </w:rPr>
            </w:pPr>
            <w:r>
              <w:rPr>
                <w:rFonts w:asciiTheme="minorHAnsi" w:hAnsiTheme="minorHAnsi" w:cstheme="minorHAnsi"/>
              </w:rPr>
              <w:t>If the Contractor disagrees with the results of the survey:</w:t>
            </w:r>
          </w:p>
          <w:p w:rsidR="005632CE" w:rsidRDefault="005632CE" w:rsidP="004D3AFC">
            <w:pPr>
              <w:rPr>
                <w:rFonts w:asciiTheme="minorHAnsi" w:hAnsiTheme="minorHAnsi" w:cstheme="minorHAnsi"/>
              </w:rPr>
            </w:pPr>
          </w:p>
          <w:p w:rsidR="004D3AFC" w:rsidRDefault="004D3AFC" w:rsidP="004D3AFC">
            <w:pPr>
              <w:pStyle w:val="ListParagraph"/>
              <w:numPr>
                <w:ilvl w:val="0"/>
                <w:numId w:val="20"/>
              </w:numPr>
              <w:rPr>
                <w:rFonts w:asciiTheme="minorHAnsi" w:hAnsiTheme="minorHAnsi" w:cstheme="minorHAnsi"/>
              </w:rPr>
            </w:pPr>
            <w:r>
              <w:rPr>
                <w:rFonts w:asciiTheme="minorHAnsi" w:hAnsiTheme="minorHAnsi" w:cstheme="minorHAnsi"/>
              </w:rPr>
              <w:t>Direct Contractor to the Protest section of the Procurement Code</w:t>
            </w:r>
            <w:r w:rsidR="005632CE">
              <w:rPr>
                <w:rFonts w:asciiTheme="minorHAnsi" w:hAnsiTheme="minorHAnsi" w:cstheme="minorHAnsi"/>
              </w:rPr>
              <w:t>- Arizona Revised Statutes: Title 41, Chapter 23, Article 9 and rules adopted thereunder.</w:t>
            </w:r>
          </w:p>
          <w:p w:rsidR="00B079C6" w:rsidRPr="00B079C6" w:rsidRDefault="00B079C6" w:rsidP="00B079C6">
            <w:pPr>
              <w:ind w:left="360"/>
              <w:rPr>
                <w:rFonts w:asciiTheme="minorHAnsi" w:hAnsiTheme="minorHAnsi" w:cstheme="minorHAnsi"/>
              </w:rPr>
            </w:pPr>
          </w:p>
          <w:p w:rsidR="005632CE" w:rsidRPr="004D3AFC" w:rsidRDefault="005632CE" w:rsidP="004D3AFC">
            <w:pPr>
              <w:pStyle w:val="ListParagraph"/>
              <w:numPr>
                <w:ilvl w:val="0"/>
                <w:numId w:val="20"/>
              </w:numPr>
              <w:rPr>
                <w:rFonts w:asciiTheme="minorHAnsi" w:hAnsiTheme="minorHAnsi" w:cstheme="minorHAnsi"/>
              </w:rPr>
            </w:pPr>
            <w:r>
              <w:rPr>
                <w:rFonts w:asciiTheme="minorHAnsi" w:hAnsiTheme="minorHAnsi" w:cstheme="minorHAnsi"/>
              </w:rPr>
              <w:t>Procurement Manager shall review any protest with the State Procurement Administrator and determine what next action is in the best interest of the state.</w:t>
            </w:r>
          </w:p>
          <w:p w:rsidR="00C45465" w:rsidRPr="006E6F00" w:rsidRDefault="00C45465" w:rsidP="00C45465">
            <w:pPr>
              <w:rPr>
                <w:rFonts w:asciiTheme="minorHAnsi" w:eastAsia="Calibri" w:hAnsiTheme="minorHAnsi" w:cstheme="minorHAnsi"/>
              </w:rPr>
            </w:pPr>
          </w:p>
        </w:tc>
      </w:tr>
      <w:tr w:rsidR="00C45465" w:rsidRPr="006E6F00" w:rsidTr="00EE7704">
        <w:trPr>
          <w:trHeight w:val="576"/>
        </w:trPr>
        <w:tc>
          <w:tcPr>
            <w:tcW w:w="1428" w:type="dxa"/>
            <w:shd w:val="clear" w:color="auto" w:fill="auto"/>
          </w:tcPr>
          <w:p w:rsidR="00C45465" w:rsidRPr="006E6F00" w:rsidRDefault="005632CE" w:rsidP="00C45465">
            <w:pPr>
              <w:rPr>
                <w:rFonts w:asciiTheme="minorHAnsi" w:eastAsia="Calibri" w:hAnsiTheme="minorHAnsi" w:cstheme="minorHAnsi"/>
              </w:rPr>
            </w:pPr>
            <w:r>
              <w:rPr>
                <w:rFonts w:asciiTheme="minorHAnsi" w:eastAsia="Calibri" w:hAnsiTheme="minorHAnsi" w:cstheme="minorHAnsi"/>
              </w:rPr>
              <w:t>Re-Occurring</w:t>
            </w:r>
          </w:p>
        </w:tc>
        <w:tc>
          <w:tcPr>
            <w:tcW w:w="500" w:type="dxa"/>
            <w:shd w:val="clear" w:color="auto" w:fill="auto"/>
          </w:tcPr>
          <w:p w:rsidR="00C45465" w:rsidRPr="006E6F00" w:rsidRDefault="00E5668F" w:rsidP="00C45465">
            <w:pPr>
              <w:jc w:val="center"/>
              <w:rPr>
                <w:rFonts w:asciiTheme="minorHAnsi" w:eastAsia="Calibri" w:hAnsiTheme="minorHAnsi" w:cstheme="minorHAnsi"/>
              </w:rPr>
            </w:pPr>
            <w:r>
              <w:rPr>
                <w:rFonts w:asciiTheme="minorHAnsi" w:eastAsia="Calibri" w:hAnsiTheme="minorHAnsi" w:cstheme="minorHAnsi"/>
              </w:rPr>
              <w:t>7</w:t>
            </w:r>
          </w:p>
        </w:tc>
        <w:tc>
          <w:tcPr>
            <w:tcW w:w="2387" w:type="dxa"/>
            <w:shd w:val="clear" w:color="auto" w:fill="auto"/>
          </w:tcPr>
          <w:p w:rsidR="00C45465" w:rsidRDefault="005632CE" w:rsidP="00C45465">
            <w:pPr>
              <w:rPr>
                <w:rFonts w:asciiTheme="minorHAnsi" w:eastAsia="Calibri" w:hAnsiTheme="minorHAnsi" w:cstheme="minorHAnsi"/>
              </w:rPr>
            </w:pPr>
            <w:r>
              <w:rPr>
                <w:rFonts w:asciiTheme="minorHAnsi" w:eastAsia="Calibri" w:hAnsiTheme="minorHAnsi" w:cstheme="minorHAnsi"/>
              </w:rPr>
              <w:t>Procurement Manager and the State Procurement Office</w:t>
            </w:r>
          </w:p>
          <w:p w:rsidR="005632CE" w:rsidRPr="006E6F00" w:rsidRDefault="005632CE" w:rsidP="00C45465">
            <w:pPr>
              <w:rPr>
                <w:rFonts w:asciiTheme="minorHAnsi" w:eastAsia="Calibri" w:hAnsiTheme="minorHAnsi" w:cstheme="minorHAnsi"/>
              </w:rPr>
            </w:pPr>
          </w:p>
        </w:tc>
        <w:tc>
          <w:tcPr>
            <w:tcW w:w="6503" w:type="dxa"/>
            <w:shd w:val="clear" w:color="auto" w:fill="auto"/>
          </w:tcPr>
          <w:p w:rsidR="00B079C6" w:rsidRDefault="00B079C6" w:rsidP="00B079C6">
            <w:pPr>
              <w:rPr>
                <w:rFonts w:asciiTheme="minorHAnsi" w:hAnsiTheme="minorHAnsi" w:cstheme="minorHAnsi"/>
              </w:rPr>
            </w:pPr>
            <w:r>
              <w:rPr>
                <w:rFonts w:asciiTheme="minorHAnsi" w:hAnsiTheme="minorHAnsi" w:cstheme="minorHAnsi"/>
              </w:rPr>
              <w:t xml:space="preserve">If the Contractor disagrees with the results of the </w:t>
            </w:r>
            <w:r w:rsidR="00DE4CB9">
              <w:rPr>
                <w:rFonts w:asciiTheme="minorHAnsi" w:hAnsiTheme="minorHAnsi" w:cstheme="minorHAnsi"/>
              </w:rPr>
              <w:t>meeting</w:t>
            </w:r>
            <w:r>
              <w:rPr>
                <w:rFonts w:asciiTheme="minorHAnsi" w:hAnsiTheme="minorHAnsi" w:cstheme="minorHAnsi"/>
              </w:rPr>
              <w:t>:</w:t>
            </w:r>
          </w:p>
          <w:p w:rsidR="00B079C6" w:rsidRDefault="00B079C6" w:rsidP="00B079C6">
            <w:pPr>
              <w:rPr>
                <w:rFonts w:asciiTheme="minorHAnsi" w:hAnsiTheme="minorHAnsi" w:cstheme="minorHAnsi"/>
              </w:rPr>
            </w:pPr>
          </w:p>
          <w:p w:rsidR="00B079C6" w:rsidRDefault="00B079C6" w:rsidP="00B079C6">
            <w:pPr>
              <w:pStyle w:val="ListParagraph"/>
              <w:numPr>
                <w:ilvl w:val="0"/>
                <w:numId w:val="21"/>
              </w:numPr>
              <w:rPr>
                <w:rFonts w:asciiTheme="minorHAnsi" w:hAnsiTheme="minorHAnsi" w:cstheme="minorHAnsi"/>
              </w:rPr>
            </w:pPr>
            <w:r>
              <w:rPr>
                <w:rFonts w:asciiTheme="minorHAnsi" w:hAnsiTheme="minorHAnsi" w:cstheme="minorHAnsi"/>
              </w:rPr>
              <w:t>Direct Contractor to the Protest section of the Procurement Code- Arizona Revised Statutes: Title 41, Chapter 23, Article 9 and rules adopted thereunder.</w:t>
            </w:r>
          </w:p>
          <w:p w:rsidR="00B079C6" w:rsidRPr="00B079C6" w:rsidRDefault="00B079C6" w:rsidP="00B079C6">
            <w:pPr>
              <w:ind w:left="360"/>
              <w:rPr>
                <w:rFonts w:asciiTheme="minorHAnsi" w:hAnsiTheme="minorHAnsi" w:cstheme="minorHAnsi"/>
              </w:rPr>
            </w:pPr>
          </w:p>
          <w:p w:rsidR="00B079C6" w:rsidRPr="004D3AFC" w:rsidRDefault="00B079C6" w:rsidP="00B079C6">
            <w:pPr>
              <w:pStyle w:val="ListParagraph"/>
              <w:numPr>
                <w:ilvl w:val="0"/>
                <w:numId w:val="21"/>
              </w:numPr>
              <w:rPr>
                <w:rFonts w:asciiTheme="minorHAnsi" w:hAnsiTheme="minorHAnsi" w:cstheme="minorHAnsi"/>
              </w:rPr>
            </w:pPr>
            <w:r>
              <w:rPr>
                <w:rFonts w:asciiTheme="minorHAnsi" w:hAnsiTheme="minorHAnsi" w:cstheme="minorHAnsi"/>
              </w:rPr>
              <w:t>Procurement Manager shall review any protest with the State Procurement Administrator and determine what next action is in the best interest of the state.</w:t>
            </w:r>
          </w:p>
          <w:p w:rsidR="00C45465" w:rsidRPr="006E6F00" w:rsidRDefault="00C45465" w:rsidP="00C45465">
            <w:pPr>
              <w:rPr>
                <w:rFonts w:asciiTheme="minorHAnsi" w:eastAsia="Calibri" w:hAnsiTheme="minorHAnsi" w:cstheme="minorHAnsi"/>
              </w:rPr>
            </w:pPr>
          </w:p>
        </w:tc>
      </w:tr>
      <w:tr w:rsidR="00C45465" w:rsidRPr="006E6F00" w:rsidTr="00EE7704">
        <w:trPr>
          <w:trHeight w:val="576"/>
        </w:trPr>
        <w:tc>
          <w:tcPr>
            <w:tcW w:w="1428" w:type="dxa"/>
            <w:shd w:val="clear" w:color="auto" w:fill="auto"/>
          </w:tcPr>
          <w:p w:rsidR="00C45465" w:rsidRPr="006E6F00" w:rsidRDefault="004D3AFC" w:rsidP="00C45465">
            <w:pPr>
              <w:rPr>
                <w:rFonts w:asciiTheme="minorHAnsi" w:eastAsia="Calibri" w:hAnsiTheme="minorHAnsi" w:cstheme="minorHAnsi"/>
              </w:rPr>
            </w:pPr>
            <w:r>
              <w:rPr>
                <w:rFonts w:asciiTheme="minorHAnsi" w:eastAsia="Calibri" w:hAnsiTheme="minorHAnsi" w:cstheme="minorHAnsi"/>
              </w:rPr>
              <w:t>Re-Occurring</w:t>
            </w:r>
          </w:p>
        </w:tc>
        <w:tc>
          <w:tcPr>
            <w:tcW w:w="500" w:type="dxa"/>
            <w:shd w:val="clear" w:color="auto" w:fill="auto"/>
          </w:tcPr>
          <w:p w:rsidR="00C45465" w:rsidRPr="006E6F00" w:rsidRDefault="00E5668F" w:rsidP="00C45465">
            <w:pPr>
              <w:jc w:val="center"/>
              <w:rPr>
                <w:rFonts w:asciiTheme="minorHAnsi" w:eastAsia="Calibri" w:hAnsiTheme="minorHAnsi" w:cstheme="minorHAnsi"/>
              </w:rPr>
            </w:pPr>
            <w:r>
              <w:rPr>
                <w:rFonts w:asciiTheme="minorHAnsi" w:eastAsia="Calibri" w:hAnsiTheme="minorHAnsi" w:cstheme="minorHAnsi"/>
              </w:rPr>
              <w:t>8</w:t>
            </w:r>
          </w:p>
        </w:tc>
        <w:tc>
          <w:tcPr>
            <w:tcW w:w="2387" w:type="dxa"/>
            <w:shd w:val="clear" w:color="auto" w:fill="auto"/>
          </w:tcPr>
          <w:p w:rsidR="00C45465" w:rsidRPr="006E6F00" w:rsidRDefault="004D3AFC" w:rsidP="00C45465">
            <w:pPr>
              <w:rPr>
                <w:rFonts w:asciiTheme="minorHAnsi" w:eastAsia="Calibri" w:hAnsiTheme="minorHAnsi" w:cstheme="minorHAnsi"/>
              </w:rPr>
            </w:pPr>
            <w:r>
              <w:rPr>
                <w:rFonts w:asciiTheme="minorHAnsi" w:eastAsia="Calibri" w:hAnsiTheme="minorHAnsi" w:cstheme="minorHAnsi"/>
              </w:rPr>
              <w:t>Procurement Manager</w:t>
            </w:r>
          </w:p>
        </w:tc>
        <w:tc>
          <w:tcPr>
            <w:tcW w:w="6503" w:type="dxa"/>
            <w:shd w:val="clear" w:color="auto" w:fill="auto"/>
          </w:tcPr>
          <w:p w:rsidR="00C45465" w:rsidRDefault="005632CE" w:rsidP="00C45465">
            <w:pPr>
              <w:rPr>
                <w:rFonts w:asciiTheme="minorHAnsi" w:eastAsia="Calibri" w:hAnsiTheme="minorHAnsi" w:cstheme="minorHAnsi"/>
              </w:rPr>
            </w:pPr>
            <w:r>
              <w:rPr>
                <w:rFonts w:asciiTheme="minorHAnsi" w:eastAsia="Calibri" w:hAnsiTheme="minorHAnsi" w:cstheme="minorHAnsi"/>
              </w:rPr>
              <w:t xml:space="preserve">The location to file surveys, contractor correspondence and </w:t>
            </w:r>
            <w:r w:rsidR="00B079C6">
              <w:rPr>
                <w:rFonts w:asciiTheme="minorHAnsi" w:eastAsia="Calibri" w:hAnsiTheme="minorHAnsi" w:cstheme="minorHAnsi"/>
              </w:rPr>
              <w:t>meeting minutes is determined by the Procurement Manager</w:t>
            </w:r>
            <w:r w:rsidR="00E5668F">
              <w:rPr>
                <w:rFonts w:asciiTheme="minorHAnsi" w:eastAsia="Calibri" w:hAnsiTheme="minorHAnsi" w:cstheme="minorHAnsi"/>
              </w:rPr>
              <w:t xml:space="preserve"> and is</w:t>
            </w:r>
            <w:r w:rsidR="00B079C6">
              <w:rPr>
                <w:rFonts w:asciiTheme="minorHAnsi" w:eastAsia="Calibri" w:hAnsiTheme="minorHAnsi" w:cstheme="minorHAnsi"/>
              </w:rPr>
              <w:t xml:space="preserve"> in the SPO directory, Construction Team Folder, </w:t>
            </w:r>
            <w:r w:rsidR="00CB3E9B">
              <w:rPr>
                <w:rFonts w:asciiTheme="minorHAnsi" w:eastAsia="Calibri" w:hAnsiTheme="minorHAnsi" w:cstheme="minorHAnsi"/>
              </w:rPr>
              <w:t xml:space="preserve">01 Projects, </w:t>
            </w:r>
            <w:r w:rsidR="00B079C6">
              <w:rPr>
                <w:rFonts w:asciiTheme="minorHAnsi" w:eastAsia="Calibri" w:hAnsiTheme="minorHAnsi" w:cstheme="minorHAnsi"/>
              </w:rPr>
              <w:t>07 JOC Contractor Surveys.</w:t>
            </w:r>
          </w:p>
          <w:p w:rsidR="00B079C6" w:rsidRPr="006E6F00" w:rsidRDefault="00B079C6" w:rsidP="00C45465">
            <w:pPr>
              <w:rPr>
                <w:rFonts w:asciiTheme="minorHAnsi" w:eastAsia="Calibri" w:hAnsiTheme="minorHAnsi" w:cstheme="minorHAnsi"/>
              </w:rPr>
            </w:pPr>
          </w:p>
        </w:tc>
      </w:tr>
      <w:tr w:rsidR="00E5668F" w:rsidRPr="006E6F00" w:rsidTr="00EE7704">
        <w:trPr>
          <w:trHeight w:val="576"/>
        </w:trPr>
        <w:tc>
          <w:tcPr>
            <w:tcW w:w="1428" w:type="dxa"/>
            <w:shd w:val="clear" w:color="auto" w:fill="auto"/>
          </w:tcPr>
          <w:p w:rsidR="00E5668F" w:rsidRDefault="00E5668F" w:rsidP="00C45465">
            <w:pPr>
              <w:rPr>
                <w:rFonts w:asciiTheme="minorHAnsi" w:eastAsia="Calibri" w:hAnsiTheme="minorHAnsi" w:cstheme="minorHAnsi"/>
              </w:rPr>
            </w:pPr>
            <w:r>
              <w:rPr>
                <w:rFonts w:asciiTheme="minorHAnsi" w:eastAsia="Calibri" w:hAnsiTheme="minorHAnsi" w:cstheme="minorHAnsi"/>
              </w:rPr>
              <w:t>Re-Occurring</w:t>
            </w:r>
          </w:p>
        </w:tc>
        <w:tc>
          <w:tcPr>
            <w:tcW w:w="500" w:type="dxa"/>
            <w:shd w:val="clear" w:color="auto" w:fill="auto"/>
          </w:tcPr>
          <w:p w:rsidR="00E5668F" w:rsidRDefault="00E5668F" w:rsidP="00C45465">
            <w:pPr>
              <w:jc w:val="center"/>
              <w:rPr>
                <w:rFonts w:asciiTheme="minorHAnsi" w:eastAsia="Calibri" w:hAnsiTheme="minorHAnsi" w:cstheme="minorHAnsi"/>
              </w:rPr>
            </w:pPr>
            <w:r>
              <w:rPr>
                <w:rFonts w:asciiTheme="minorHAnsi" w:eastAsia="Calibri" w:hAnsiTheme="minorHAnsi" w:cstheme="minorHAnsi"/>
              </w:rPr>
              <w:t>9</w:t>
            </w:r>
          </w:p>
        </w:tc>
        <w:tc>
          <w:tcPr>
            <w:tcW w:w="2387" w:type="dxa"/>
            <w:shd w:val="clear" w:color="auto" w:fill="auto"/>
          </w:tcPr>
          <w:p w:rsidR="00E5668F" w:rsidRDefault="00E5668F" w:rsidP="00C45465">
            <w:pPr>
              <w:rPr>
                <w:rFonts w:asciiTheme="minorHAnsi" w:eastAsia="Calibri" w:hAnsiTheme="minorHAnsi" w:cstheme="minorHAnsi"/>
              </w:rPr>
            </w:pPr>
            <w:r>
              <w:rPr>
                <w:rFonts w:asciiTheme="minorHAnsi" w:eastAsia="Calibri" w:hAnsiTheme="minorHAnsi" w:cstheme="minorHAnsi"/>
              </w:rPr>
              <w:t>Procurement Manager and GORDIAN</w:t>
            </w:r>
          </w:p>
        </w:tc>
        <w:tc>
          <w:tcPr>
            <w:tcW w:w="6503" w:type="dxa"/>
            <w:shd w:val="clear" w:color="auto" w:fill="auto"/>
          </w:tcPr>
          <w:p w:rsidR="001671D8" w:rsidRDefault="00E5668F" w:rsidP="00C45465">
            <w:pPr>
              <w:rPr>
                <w:rFonts w:asciiTheme="minorHAnsi" w:eastAsia="Calibri" w:hAnsiTheme="minorHAnsi" w:cstheme="minorHAnsi"/>
              </w:rPr>
            </w:pPr>
            <w:r>
              <w:rPr>
                <w:rFonts w:asciiTheme="minorHAnsi" w:eastAsia="Calibri" w:hAnsiTheme="minorHAnsi" w:cstheme="minorHAnsi"/>
              </w:rPr>
              <w:t>GORDIAN will provide the Procurement Manager with a report of</w:t>
            </w:r>
            <w:r w:rsidR="001671D8">
              <w:rPr>
                <w:rFonts w:asciiTheme="minorHAnsi" w:eastAsia="Calibri" w:hAnsiTheme="minorHAnsi" w:cstheme="minorHAnsi"/>
              </w:rPr>
              <w:t xml:space="preserve"> completed JOC</w:t>
            </w:r>
            <w:r>
              <w:rPr>
                <w:rFonts w:asciiTheme="minorHAnsi" w:eastAsia="Calibri" w:hAnsiTheme="minorHAnsi" w:cstheme="minorHAnsi"/>
              </w:rPr>
              <w:t xml:space="preserve"> projects greater than $25,000 on a regular basis (at least weekly).  </w:t>
            </w:r>
          </w:p>
          <w:p w:rsidR="00E5668F" w:rsidRDefault="00E5668F" w:rsidP="001671D8">
            <w:pPr>
              <w:pStyle w:val="ListParagraph"/>
              <w:numPr>
                <w:ilvl w:val="0"/>
                <w:numId w:val="22"/>
              </w:numPr>
              <w:rPr>
                <w:rFonts w:asciiTheme="minorHAnsi" w:eastAsia="Calibri" w:hAnsiTheme="minorHAnsi" w:cstheme="minorHAnsi"/>
              </w:rPr>
            </w:pPr>
            <w:r w:rsidRPr="001671D8">
              <w:rPr>
                <w:rFonts w:asciiTheme="minorHAnsi" w:eastAsia="Calibri" w:hAnsiTheme="minorHAnsi" w:cstheme="minorHAnsi"/>
              </w:rPr>
              <w:t>Pro</w:t>
            </w:r>
            <w:r w:rsidR="001671D8" w:rsidRPr="001671D8">
              <w:rPr>
                <w:rFonts w:asciiTheme="minorHAnsi" w:eastAsia="Calibri" w:hAnsiTheme="minorHAnsi" w:cstheme="minorHAnsi"/>
              </w:rPr>
              <w:t>curement Manager will post this report regularly at the GSD Huddle</w:t>
            </w:r>
            <w:r w:rsidR="001671D8">
              <w:rPr>
                <w:rFonts w:asciiTheme="minorHAnsi" w:eastAsia="Calibri" w:hAnsiTheme="minorHAnsi" w:cstheme="minorHAnsi"/>
              </w:rPr>
              <w:t xml:space="preserve"> B</w:t>
            </w:r>
            <w:r w:rsidR="001671D8" w:rsidRPr="001671D8">
              <w:rPr>
                <w:rFonts w:asciiTheme="minorHAnsi" w:eastAsia="Calibri" w:hAnsiTheme="minorHAnsi" w:cstheme="minorHAnsi"/>
              </w:rPr>
              <w:t>oard</w:t>
            </w:r>
            <w:r w:rsidR="00E247CC">
              <w:rPr>
                <w:rFonts w:asciiTheme="minorHAnsi" w:eastAsia="Calibri" w:hAnsiTheme="minorHAnsi" w:cstheme="minorHAnsi"/>
              </w:rPr>
              <w:t xml:space="preserve"> meeting</w:t>
            </w:r>
            <w:r w:rsidR="001671D8" w:rsidRPr="001671D8">
              <w:rPr>
                <w:rFonts w:asciiTheme="minorHAnsi" w:eastAsia="Calibri" w:hAnsiTheme="minorHAnsi" w:cstheme="minorHAnsi"/>
              </w:rPr>
              <w:t xml:space="preserve"> to remind </w:t>
            </w:r>
            <w:r w:rsidR="00E247CC">
              <w:rPr>
                <w:rFonts w:asciiTheme="minorHAnsi" w:eastAsia="Calibri" w:hAnsiTheme="minorHAnsi" w:cstheme="minorHAnsi"/>
              </w:rPr>
              <w:t>P</w:t>
            </w:r>
            <w:r w:rsidR="001671D8" w:rsidRPr="001671D8">
              <w:rPr>
                <w:rFonts w:asciiTheme="minorHAnsi" w:eastAsia="Calibri" w:hAnsiTheme="minorHAnsi" w:cstheme="minorHAnsi"/>
              </w:rPr>
              <w:t xml:space="preserve">roject </w:t>
            </w:r>
            <w:r w:rsidR="00E247CC">
              <w:rPr>
                <w:rFonts w:asciiTheme="minorHAnsi" w:eastAsia="Calibri" w:hAnsiTheme="minorHAnsi" w:cstheme="minorHAnsi"/>
              </w:rPr>
              <w:t>M</w:t>
            </w:r>
            <w:r w:rsidR="001671D8" w:rsidRPr="001671D8">
              <w:rPr>
                <w:rFonts w:asciiTheme="minorHAnsi" w:eastAsia="Calibri" w:hAnsiTheme="minorHAnsi" w:cstheme="minorHAnsi"/>
              </w:rPr>
              <w:t>anagers to complete contractor Survey</w:t>
            </w:r>
            <w:r w:rsidR="001671D8">
              <w:rPr>
                <w:rFonts w:asciiTheme="minorHAnsi" w:eastAsia="Calibri" w:hAnsiTheme="minorHAnsi" w:cstheme="minorHAnsi"/>
              </w:rPr>
              <w:t>s.</w:t>
            </w:r>
          </w:p>
          <w:p w:rsidR="00E247CC" w:rsidRDefault="00E247CC" w:rsidP="001671D8">
            <w:pPr>
              <w:pStyle w:val="ListParagraph"/>
              <w:numPr>
                <w:ilvl w:val="0"/>
                <w:numId w:val="22"/>
              </w:numPr>
              <w:rPr>
                <w:rFonts w:asciiTheme="minorHAnsi" w:eastAsia="Calibri" w:hAnsiTheme="minorHAnsi" w:cstheme="minorHAnsi"/>
              </w:rPr>
            </w:pPr>
            <w:r>
              <w:rPr>
                <w:rFonts w:asciiTheme="minorHAnsi" w:eastAsia="Calibri" w:hAnsiTheme="minorHAnsi" w:cstheme="minorHAnsi"/>
              </w:rPr>
              <w:t xml:space="preserve">For other State and non-State Agencies (co-op purchasing members), Procurement Manager will reach out to their Project </w:t>
            </w:r>
            <w:r>
              <w:rPr>
                <w:rFonts w:asciiTheme="minorHAnsi" w:eastAsia="Calibri" w:hAnsiTheme="minorHAnsi" w:cstheme="minorHAnsi"/>
              </w:rPr>
              <w:lastRenderedPageBreak/>
              <w:t xml:space="preserve">Managers or Owner’s Representatives to remind them to complete the survey. </w:t>
            </w:r>
          </w:p>
          <w:p w:rsidR="001671D8" w:rsidRPr="001671D8" w:rsidRDefault="001671D8" w:rsidP="001671D8">
            <w:pPr>
              <w:pStyle w:val="ListParagraph"/>
              <w:rPr>
                <w:rFonts w:asciiTheme="minorHAnsi" w:eastAsia="Calibri" w:hAnsiTheme="minorHAnsi" w:cstheme="minorHAnsi"/>
              </w:rPr>
            </w:pPr>
          </w:p>
        </w:tc>
      </w:tr>
    </w:tbl>
    <w:p w:rsidR="00E47EF3" w:rsidRPr="006E6F00" w:rsidRDefault="00E47EF3" w:rsidP="00E47EF3">
      <w:pPr>
        <w:rPr>
          <w:rFonts w:asciiTheme="minorHAnsi" w:hAnsiTheme="minorHAnsi" w:cstheme="minorHAnsi"/>
        </w:rPr>
      </w:pPr>
    </w:p>
    <w:p w:rsidR="00E84918" w:rsidRPr="00E7237F" w:rsidRDefault="00E84918" w:rsidP="00043470">
      <w:pPr>
        <w:jc w:val="both"/>
        <w:rPr>
          <w:sz w:val="16"/>
        </w:rPr>
      </w:pPr>
    </w:p>
    <w:sectPr w:rsidR="00E84918" w:rsidRPr="00E7237F">
      <w:footerReference w:type="default" r:id="rId12"/>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43" w:rsidRDefault="00FD0E43">
      <w:r>
        <w:separator/>
      </w:r>
    </w:p>
  </w:endnote>
  <w:endnote w:type="continuationSeparator" w:id="0">
    <w:p w:rsidR="00FD0E43" w:rsidRDefault="00FD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13" w:rsidRPr="00DF2354" w:rsidRDefault="00D770BA" w:rsidP="00EE7704">
    <w:pPr>
      <w:pStyle w:val="Footer"/>
      <w:pBdr>
        <w:top w:val="single" w:sz="4" w:space="1" w:color="D9D9D9"/>
      </w:pBdr>
    </w:pPr>
    <w:r>
      <w:rPr>
        <w:sz w:val="16"/>
      </w:rPr>
      <w:t xml:space="preserve">Standard Work </w:t>
    </w:r>
    <w:r w:rsidR="00EB1F7A">
      <w:rPr>
        <w:sz w:val="16"/>
      </w:rPr>
      <w:t>Construction Contractor Engagement Survey</w:t>
    </w:r>
    <w:r w:rsidR="00E85813">
      <w:rPr>
        <w:sz w:val="16"/>
      </w:rPr>
      <w:t xml:space="preserve"> ● </w:t>
    </w:r>
    <w:r w:rsidR="00CA3F37">
      <w:rPr>
        <w:sz w:val="16"/>
      </w:rPr>
      <w:t>S</w:t>
    </w:r>
    <w:r w:rsidR="00043470">
      <w:rPr>
        <w:sz w:val="16"/>
      </w:rPr>
      <w:t>W</w:t>
    </w:r>
    <w:r w:rsidR="008A7E48">
      <w:rPr>
        <w:sz w:val="16"/>
      </w:rPr>
      <w:t xml:space="preserve">- </w:t>
    </w:r>
    <w:r w:rsidR="00EB1F7A">
      <w:rPr>
        <w:sz w:val="16"/>
      </w:rPr>
      <w:t>XXX</w:t>
    </w:r>
    <w:r w:rsidR="00DE2041">
      <w:rPr>
        <w:sz w:val="16"/>
      </w:rPr>
      <w:t xml:space="preserve"> </w:t>
    </w:r>
    <w:r w:rsidR="00E85813">
      <w:rPr>
        <w:sz w:val="16"/>
      </w:rPr>
      <w:t>(</w:t>
    </w:r>
    <w:r w:rsidR="00EB1F7A">
      <w:rPr>
        <w:sz w:val="16"/>
      </w:rPr>
      <w:t>7</w:t>
    </w:r>
    <w:r w:rsidR="00E85813">
      <w:rPr>
        <w:sz w:val="16"/>
      </w:rPr>
      <w:t>/</w:t>
    </w:r>
    <w:r w:rsidR="00CA3F37">
      <w:rPr>
        <w:sz w:val="16"/>
      </w:rPr>
      <w:t>17</w:t>
    </w:r>
    <w:r w:rsidR="00E85813">
      <w:rPr>
        <w:sz w:val="16"/>
      </w:rPr>
      <w:t>)</w:t>
    </w:r>
    <w:r w:rsidR="00DF2354">
      <w:rPr>
        <w:sz w:val="16"/>
      </w:rPr>
      <w:tab/>
    </w:r>
    <w:r w:rsidR="00DF2354">
      <w:rPr>
        <w:sz w:val="16"/>
      </w:rPr>
      <w:tab/>
      <w:t xml:space="preserve">Page </w:t>
    </w:r>
    <w:r w:rsidR="00DF2354" w:rsidRPr="00DF2354">
      <w:rPr>
        <w:sz w:val="16"/>
      </w:rPr>
      <w:fldChar w:fldCharType="begin"/>
    </w:r>
    <w:r w:rsidR="00DF2354" w:rsidRPr="00DF2354">
      <w:rPr>
        <w:sz w:val="16"/>
      </w:rPr>
      <w:instrText xml:space="preserve"> PAGE   \* MERGEFORMAT </w:instrText>
    </w:r>
    <w:r w:rsidR="00DF2354" w:rsidRPr="00DF2354">
      <w:rPr>
        <w:sz w:val="16"/>
      </w:rPr>
      <w:fldChar w:fldCharType="separate"/>
    </w:r>
    <w:r w:rsidR="00A0425A">
      <w:rPr>
        <w:noProof/>
        <w:sz w:val="16"/>
      </w:rPr>
      <w:t>2</w:t>
    </w:r>
    <w:r w:rsidR="00DF2354" w:rsidRPr="00DF2354">
      <w:rPr>
        <w:noProof/>
        <w:sz w:val="16"/>
      </w:rPr>
      <w:fldChar w:fldCharType="end"/>
    </w:r>
    <w:r w:rsidR="00DF2354">
      <w:t xml:space="preserve"> </w:t>
    </w:r>
    <w:r w:rsidR="00DF2354">
      <w:rPr>
        <w:sz w:val="16"/>
      </w:rPr>
      <w:t xml:space="preserve"> / </w:t>
    </w:r>
    <w:r w:rsidR="00DF2354">
      <w:rPr>
        <w:sz w:val="16"/>
      </w:rPr>
      <w:fldChar w:fldCharType="begin"/>
    </w:r>
    <w:r w:rsidR="00DF2354">
      <w:rPr>
        <w:sz w:val="16"/>
      </w:rPr>
      <w:instrText xml:space="preserve"> NUMPAGES   \* MERGEFORMAT </w:instrText>
    </w:r>
    <w:r w:rsidR="00DF2354">
      <w:rPr>
        <w:sz w:val="16"/>
      </w:rPr>
      <w:fldChar w:fldCharType="separate"/>
    </w:r>
    <w:r w:rsidR="00A0425A">
      <w:rPr>
        <w:noProof/>
        <w:sz w:val="16"/>
      </w:rPr>
      <w:t>3</w:t>
    </w:r>
    <w:r w:rsidR="00DF235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43" w:rsidRDefault="00FD0E43">
      <w:r>
        <w:separator/>
      </w:r>
    </w:p>
  </w:footnote>
  <w:footnote w:type="continuationSeparator" w:id="0">
    <w:p w:rsidR="00FD0E43" w:rsidRDefault="00FD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C32"/>
    <w:multiLevelType w:val="hybridMultilevel"/>
    <w:tmpl w:val="F32440CA"/>
    <w:lvl w:ilvl="0" w:tplc="39909A04">
      <w:start w:val="4"/>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48B67E9"/>
    <w:multiLevelType w:val="hybridMultilevel"/>
    <w:tmpl w:val="DDBE5E2E"/>
    <w:lvl w:ilvl="0" w:tplc="B9708EEE">
      <w:start w:val="4"/>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06D07D67"/>
    <w:multiLevelType w:val="hybridMultilevel"/>
    <w:tmpl w:val="26F2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C7A"/>
    <w:multiLevelType w:val="hybridMultilevel"/>
    <w:tmpl w:val="487AE19E"/>
    <w:lvl w:ilvl="0" w:tplc="FCFC1446">
      <w:start w:val="3"/>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212B2C68"/>
    <w:multiLevelType w:val="hybridMultilevel"/>
    <w:tmpl w:val="FE1AF716"/>
    <w:lvl w:ilvl="0" w:tplc="0F3A992E">
      <w:start w:val="4"/>
      <w:numFmt w:val="bullet"/>
      <w:lvlText w:val="-"/>
      <w:lvlJc w:val="left"/>
      <w:pPr>
        <w:ind w:left="686" w:hanging="360"/>
      </w:pPr>
      <w:rPr>
        <w:rFonts w:ascii="Times New Roman" w:eastAsia="Times New Roman" w:hAnsi="Times New Roman" w:cs="Times New Roman"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5" w15:restartNumberingAfterBreak="0">
    <w:nsid w:val="26345EF4"/>
    <w:multiLevelType w:val="hybridMultilevel"/>
    <w:tmpl w:val="4778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A1154"/>
    <w:multiLevelType w:val="hybridMultilevel"/>
    <w:tmpl w:val="8D7AE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5099F"/>
    <w:multiLevelType w:val="hybridMultilevel"/>
    <w:tmpl w:val="5B72A7BC"/>
    <w:lvl w:ilvl="0" w:tplc="94F87240">
      <w:start w:val="3"/>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32C437C6"/>
    <w:multiLevelType w:val="hybridMultilevel"/>
    <w:tmpl w:val="9BAC7B94"/>
    <w:lvl w:ilvl="0" w:tplc="4FB4375E">
      <w:start w:val="3"/>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3B531A76"/>
    <w:multiLevelType w:val="hybridMultilevel"/>
    <w:tmpl w:val="BD6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10A60"/>
    <w:multiLevelType w:val="hybridMultilevel"/>
    <w:tmpl w:val="79C28290"/>
    <w:lvl w:ilvl="0" w:tplc="CE5A11F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22670"/>
    <w:multiLevelType w:val="hybridMultilevel"/>
    <w:tmpl w:val="B76C19DA"/>
    <w:lvl w:ilvl="0" w:tplc="417EE81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15:restartNumberingAfterBreak="0">
    <w:nsid w:val="42DA7859"/>
    <w:multiLevelType w:val="hybridMultilevel"/>
    <w:tmpl w:val="4D309734"/>
    <w:lvl w:ilvl="0" w:tplc="65AC0B64">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26186A"/>
    <w:multiLevelType w:val="hybridMultilevel"/>
    <w:tmpl w:val="4778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B60A8"/>
    <w:multiLevelType w:val="hybridMultilevel"/>
    <w:tmpl w:val="5A68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D12CC"/>
    <w:multiLevelType w:val="hybridMultilevel"/>
    <w:tmpl w:val="A66890E2"/>
    <w:lvl w:ilvl="0" w:tplc="2FCE5844">
      <w:start w:val="4"/>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5C9A50CA"/>
    <w:multiLevelType w:val="hybridMultilevel"/>
    <w:tmpl w:val="6EAE731E"/>
    <w:lvl w:ilvl="0" w:tplc="9A7ABEDC">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F53B54"/>
    <w:multiLevelType w:val="hybridMultilevel"/>
    <w:tmpl w:val="F046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15980"/>
    <w:multiLevelType w:val="singleLevel"/>
    <w:tmpl w:val="BB72742C"/>
    <w:lvl w:ilvl="0">
      <w:start w:val="2"/>
      <w:numFmt w:val="decimal"/>
      <w:lvlText w:val="%1."/>
      <w:lvlJc w:val="left"/>
      <w:pPr>
        <w:tabs>
          <w:tab w:val="num" w:pos="480"/>
        </w:tabs>
        <w:ind w:left="480" w:hanging="360"/>
      </w:pPr>
      <w:rPr>
        <w:rFonts w:hint="default"/>
      </w:rPr>
    </w:lvl>
  </w:abstractNum>
  <w:abstractNum w:abstractNumId="19" w15:restartNumberingAfterBreak="0">
    <w:nsid w:val="66B20C2D"/>
    <w:multiLevelType w:val="hybridMultilevel"/>
    <w:tmpl w:val="A6F6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07F46"/>
    <w:multiLevelType w:val="hybridMultilevel"/>
    <w:tmpl w:val="E3DE6D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F63AAD"/>
    <w:multiLevelType w:val="hybridMultilevel"/>
    <w:tmpl w:val="837E1A5C"/>
    <w:lvl w:ilvl="0" w:tplc="F13AC5FA">
      <w:start w:val="1"/>
      <w:numFmt w:val="decimalZero"/>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4"/>
  </w:num>
  <w:num w:numId="3">
    <w:abstractNumId w:val="19"/>
  </w:num>
  <w:num w:numId="4">
    <w:abstractNumId w:val="1"/>
  </w:num>
  <w:num w:numId="5">
    <w:abstractNumId w:val="4"/>
  </w:num>
  <w:num w:numId="6">
    <w:abstractNumId w:val="2"/>
  </w:num>
  <w:num w:numId="7">
    <w:abstractNumId w:val="11"/>
  </w:num>
  <w:num w:numId="8">
    <w:abstractNumId w:val="3"/>
  </w:num>
  <w:num w:numId="9">
    <w:abstractNumId w:val="7"/>
  </w:num>
  <w:num w:numId="10">
    <w:abstractNumId w:val="8"/>
  </w:num>
  <w:num w:numId="11">
    <w:abstractNumId w:val="15"/>
  </w:num>
  <w:num w:numId="12">
    <w:abstractNumId w:val="0"/>
  </w:num>
  <w:num w:numId="13">
    <w:abstractNumId w:val="16"/>
  </w:num>
  <w:num w:numId="14">
    <w:abstractNumId w:val="21"/>
  </w:num>
  <w:num w:numId="15">
    <w:abstractNumId w:val="20"/>
  </w:num>
  <w:num w:numId="16">
    <w:abstractNumId w:val="10"/>
  </w:num>
  <w:num w:numId="17">
    <w:abstractNumId w:val="12"/>
  </w:num>
  <w:num w:numId="18">
    <w:abstractNumId w:val="6"/>
  </w:num>
  <w:num w:numId="19">
    <w:abstractNumId w:val="17"/>
  </w:num>
  <w:num w:numId="20">
    <w:abstractNumId w:val="13"/>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0B"/>
    <w:rsid w:val="00013876"/>
    <w:rsid w:val="00031226"/>
    <w:rsid w:val="000418F0"/>
    <w:rsid w:val="00043470"/>
    <w:rsid w:val="000A7F6E"/>
    <w:rsid w:val="000B2AC7"/>
    <w:rsid w:val="000C4B2C"/>
    <w:rsid w:val="000D219B"/>
    <w:rsid w:val="00103F95"/>
    <w:rsid w:val="00121FA3"/>
    <w:rsid w:val="00146417"/>
    <w:rsid w:val="00150B22"/>
    <w:rsid w:val="001671D8"/>
    <w:rsid w:val="00193746"/>
    <w:rsid w:val="001B219A"/>
    <w:rsid w:val="001B38E6"/>
    <w:rsid w:val="002137CB"/>
    <w:rsid w:val="00213A57"/>
    <w:rsid w:val="00240344"/>
    <w:rsid w:val="0024252B"/>
    <w:rsid w:val="00250C76"/>
    <w:rsid w:val="00261C18"/>
    <w:rsid w:val="002713B2"/>
    <w:rsid w:val="00274DDA"/>
    <w:rsid w:val="00281DAC"/>
    <w:rsid w:val="002829EC"/>
    <w:rsid w:val="002A151D"/>
    <w:rsid w:val="002A212F"/>
    <w:rsid w:val="002A67E6"/>
    <w:rsid w:val="002C0E02"/>
    <w:rsid w:val="002D0F54"/>
    <w:rsid w:val="002D291C"/>
    <w:rsid w:val="002E3AA9"/>
    <w:rsid w:val="00305214"/>
    <w:rsid w:val="003278F2"/>
    <w:rsid w:val="003305CC"/>
    <w:rsid w:val="00331305"/>
    <w:rsid w:val="00334445"/>
    <w:rsid w:val="003656E3"/>
    <w:rsid w:val="003823C9"/>
    <w:rsid w:val="00397C52"/>
    <w:rsid w:val="003C4A85"/>
    <w:rsid w:val="003D18CA"/>
    <w:rsid w:val="003F17E1"/>
    <w:rsid w:val="00434EA6"/>
    <w:rsid w:val="0043797A"/>
    <w:rsid w:val="00472ECE"/>
    <w:rsid w:val="004B2EEB"/>
    <w:rsid w:val="004D3AFC"/>
    <w:rsid w:val="004E467A"/>
    <w:rsid w:val="00524C1A"/>
    <w:rsid w:val="005425EE"/>
    <w:rsid w:val="00556BC1"/>
    <w:rsid w:val="005632CE"/>
    <w:rsid w:val="005656ED"/>
    <w:rsid w:val="00565BD4"/>
    <w:rsid w:val="00584CB6"/>
    <w:rsid w:val="005B0F73"/>
    <w:rsid w:val="005B37AC"/>
    <w:rsid w:val="005C2235"/>
    <w:rsid w:val="005C5FCC"/>
    <w:rsid w:val="00604700"/>
    <w:rsid w:val="00620DD2"/>
    <w:rsid w:val="006328F8"/>
    <w:rsid w:val="00634F45"/>
    <w:rsid w:val="0066096A"/>
    <w:rsid w:val="006720B9"/>
    <w:rsid w:val="006847B0"/>
    <w:rsid w:val="00685DFD"/>
    <w:rsid w:val="006E6F00"/>
    <w:rsid w:val="00703798"/>
    <w:rsid w:val="00714F37"/>
    <w:rsid w:val="00715729"/>
    <w:rsid w:val="00717106"/>
    <w:rsid w:val="007231EE"/>
    <w:rsid w:val="00727A0D"/>
    <w:rsid w:val="00727F7E"/>
    <w:rsid w:val="00757B5D"/>
    <w:rsid w:val="007641CC"/>
    <w:rsid w:val="00766FCA"/>
    <w:rsid w:val="0079037E"/>
    <w:rsid w:val="00794291"/>
    <w:rsid w:val="007E653F"/>
    <w:rsid w:val="00804821"/>
    <w:rsid w:val="00831D2A"/>
    <w:rsid w:val="00840681"/>
    <w:rsid w:val="00866DB6"/>
    <w:rsid w:val="0087021A"/>
    <w:rsid w:val="008A7E48"/>
    <w:rsid w:val="008B1C75"/>
    <w:rsid w:val="008C111A"/>
    <w:rsid w:val="008D7E68"/>
    <w:rsid w:val="008E0178"/>
    <w:rsid w:val="008E0E4F"/>
    <w:rsid w:val="008F21F0"/>
    <w:rsid w:val="008F68FA"/>
    <w:rsid w:val="00920E34"/>
    <w:rsid w:val="0093330E"/>
    <w:rsid w:val="00937107"/>
    <w:rsid w:val="009403E3"/>
    <w:rsid w:val="0094189B"/>
    <w:rsid w:val="00944DF7"/>
    <w:rsid w:val="009D28BE"/>
    <w:rsid w:val="00A0425A"/>
    <w:rsid w:val="00A13166"/>
    <w:rsid w:val="00A428B2"/>
    <w:rsid w:val="00A506B4"/>
    <w:rsid w:val="00A576E8"/>
    <w:rsid w:val="00A73475"/>
    <w:rsid w:val="00A76DB9"/>
    <w:rsid w:val="00A816D5"/>
    <w:rsid w:val="00A84744"/>
    <w:rsid w:val="00A84A0B"/>
    <w:rsid w:val="00AC0CE0"/>
    <w:rsid w:val="00AE26D2"/>
    <w:rsid w:val="00AE3D33"/>
    <w:rsid w:val="00B035A6"/>
    <w:rsid w:val="00B079C6"/>
    <w:rsid w:val="00B50FC6"/>
    <w:rsid w:val="00B549F2"/>
    <w:rsid w:val="00B75270"/>
    <w:rsid w:val="00BC3A7A"/>
    <w:rsid w:val="00BD2588"/>
    <w:rsid w:val="00C029F3"/>
    <w:rsid w:val="00C100E8"/>
    <w:rsid w:val="00C45465"/>
    <w:rsid w:val="00C57590"/>
    <w:rsid w:val="00C64601"/>
    <w:rsid w:val="00C64A16"/>
    <w:rsid w:val="00C72768"/>
    <w:rsid w:val="00C7287A"/>
    <w:rsid w:val="00C7700B"/>
    <w:rsid w:val="00C876D0"/>
    <w:rsid w:val="00CA3AA9"/>
    <w:rsid w:val="00CA3F37"/>
    <w:rsid w:val="00CA5698"/>
    <w:rsid w:val="00CB3E9B"/>
    <w:rsid w:val="00CC0859"/>
    <w:rsid w:val="00CC0F99"/>
    <w:rsid w:val="00CC3D0A"/>
    <w:rsid w:val="00CD2839"/>
    <w:rsid w:val="00CD3FDC"/>
    <w:rsid w:val="00D24289"/>
    <w:rsid w:val="00D3227F"/>
    <w:rsid w:val="00D770BA"/>
    <w:rsid w:val="00DC7F7A"/>
    <w:rsid w:val="00DE2041"/>
    <w:rsid w:val="00DE4CB9"/>
    <w:rsid w:val="00DF2354"/>
    <w:rsid w:val="00E04C82"/>
    <w:rsid w:val="00E1224B"/>
    <w:rsid w:val="00E202FB"/>
    <w:rsid w:val="00E247CC"/>
    <w:rsid w:val="00E33FED"/>
    <w:rsid w:val="00E47EF3"/>
    <w:rsid w:val="00E5668F"/>
    <w:rsid w:val="00E7237F"/>
    <w:rsid w:val="00E84918"/>
    <w:rsid w:val="00E85813"/>
    <w:rsid w:val="00E903DA"/>
    <w:rsid w:val="00E911F4"/>
    <w:rsid w:val="00E9438F"/>
    <w:rsid w:val="00EA0C78"/>
    <w:rsid w:val="00EB1F7A"/>
    <w:rsid w:val="00EC50DD"/>
    <w:rsid w:val="00EE305C"/>
    <w:rsid w:val="00EE7704"/>
    <w:rsid w:val="00F305B4"/>
    <w:rsid w:val="00F372D8"/>
    <w:rsid w:val="00F408B7"/>
    <w:rsid w:val="00F743BC"/>
    <w:rsid w:val="00F83B2E"/>
    <w:rsid w:val="00FA0262"/>
    <w:rsid w:val="00FA3158"/>
    <w:rsid w:val="00FC32D1"/>
    <w:rsid w:val="00FD0E43"/>
    <w:rsid w:val="00FD2AF6"/>
    <w:rsid w:val="00FD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A070904"/>
  <w15:chartTrackingRefBased/>
  <w15:docId w15:val="{4989C137-54F0-4FDB-B2EC-F4CA417F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6"/>
    </w:rPr>
  </w:style>
  <w:style w:type="paragraph" w:styleId="BodyTextIndent">
    <w:name w:val="Body Text Indent"/>
    <w:basedOn w:val="Normal"/>
    <w:pPr>
      <w:ind w:left="2160" w:hanging="72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8B1C75"/>
    <w:rPr>
      <w:rFonts w:ascii="Segoe UI" w:hAnsi="Segoe UI" w:cs="Segoe UI"/>
      <w:sz w:val="18"/>
      <w:szCs w:val="18"/>
    </w:rPr>
  </w:style>
  <w:style w:type="character" w:customStyle="1" w:styleId="BalloonTextChar">
    <w:name w:val="Balloon Text Char"/>
    <w:link w:val="BalloonText"/>
    <w:uiPriority w:val="99"/>
    <w:semiHidden/>
    <w:rsid w:val="008B1C75"/>
    <w:rPr>
      <w:rFonts w:ascii="Segoe UI" w:hAnsi="Segoe UI" w:cs="Segoe UI"/>
      <w:sz w:val="18"/>
      <w:szCs w:val="18"/>
    </w:rPr>
  </w:style>
  <w:style w:type="character" w:styleId="Hyperlink">
    <w:name w:val="Hyperlink"/>
    <w:uiPriority w:val="99"/>
    <w:unhideWhenUsed/>
    <w:rsid w:val="00240344"/>
    <w:rPr>
      <w:color w:val="0563C1"/>
      <w:u w:val="single"/>
    </w:rPr>
  </w:style>
  <w:style w:type="table" w:styleId="TableGrid">
    <w:name w:val="Table Grid"/>
    <w:basedOn w:val="TableNormal"/>
    <w:uiPriority w:val="39"/>
    <w:rsid w:val="000C4B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F2354"/>
  </w:style>
  <w:style w:type="paragraph" w:styleId="ListParagraph">
    <w:name w:val="List Paragraph"/>
    <w:basedOn w:val="Normal"/>
    <w:uiPriority w:val="34"/>
    <w:qFormat/>
    <w:rsid w:val="005425EE"/>
    <w:pPr>
      <w:ind w:left="720"/>
      <w:contextualSpacing/>
    </w:pPr>
  </w:style>
  <w:style w:type="character" w:styleId="UnresolvedMention">
    <w:name w:val="Unresolved Mention"/>
    <w:basedOn w:val="DefaultParagraphFont"/>
    <w:uiPriority w:val="99"/>
    <w:semiHidden/>
    <w:unhideWhenUsed/>
    <w:rsid w:val="00E33F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ructionengagementsurvey@azdo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tructionengagementsurvey@azdoa.gov" TargetMode="External"/><Relationship Id="rId5" Type="http://schemas.openxmlformats.org/officeDocument/2006/relationships/webSettings" Target="webSettings.xml"/><Relationship Id="rId10" Type="http://schemas.openxmlformats.org/officeDocument/2006/relationships/hyperlink" Target="mailto:constructionengagementsurvey@azdoa.gov" TargetMode="External"/><Relationship Id="rId4" Type="http://schemas.openxmlformats.org/officeDocument/2006/relationships/settings" Target="settings.xml"/><Relationship Id="rId9" Type="http://schemas.openxmlformats.org/officeDocument/2006/relationships/hyperlink" Target="mailto:eric.peterson@azdo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59B8-9409-4554-AAC6-546C068E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799</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Using the following checklists, insure required documents are present and ready to be included in the File</vt:lpstr>
    </vt:vector>
  </TitlesOfParts>
  <Company>AZ Department of Education</Company>
  <LinksUpToDate>false</LinksUpToDate>
  <CharactersWithSpaces>5697</CharactersWithSpaces>
  <SharedDoc>false</SharedDoc>
  <HLinks>
    <vt:vector size="6" baseType="variant">
      <vt:variant>
        <vt:i4>7405647</vt:i4>
      </vt:variant>
      <vt:variant>
        <vt:i4>0</vt:i4>
      </vt:variant>
      <vt:variant>
        <vt:i4>0</vt:i4>
      </vt:variant>
      <vt:variant>
        <vt:i4>5</vt:i4>
      </vt:variant>
      <vt:variant>
        <vt:lpwstr>https://spo.az.gov/sites/default/files/20140915 Step-by-Step Bid Opening Reports and Bid Tabulations_0.pdf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following checklists, insure required documents are present and ready to be included in the File</dc:title>
  <dc:subject/>
  <dc:creator>Steve Nettles</dc:creator>
  <cp:keywords/>
  <cp:lastModifiedBy>Eric Peterson</cp:lastModifiedBy>
  <cp:revision>17</cp:revision>
  <cp:lastPrinted>2017-03-31T21:59:00Z</cp:lastPrinted>
  <dcterms:created xsi:type="dcterms:W3CDTF">2017-07-20T16:59:00Z</dcterms:created>
  <dcterms:modified xsi:type="dcterms:W3CDTF">2017-08-09T17:46:00Z</dcterms:modified>
</cp:coreProperties>
</file>